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adjustRightInd w:val="false"/>
        <w:snapToGrid w:val="false"/>
        <w:spacing w:lineRule="auto" w:line="360"/>
        <w:jc w:val="left"/>
        <w:rPr>
          <w:rFonts w:ascii="宋体" w:cs="Arial" w:eastAsia="宋体" w:hAnsi="宋体" w:hint="default"/>
          <w:b w:val="false"/>
          <w:bCs w:val="false"/>
          <w:i w:val="false"/>
          <w:iCs w:val="false"/>
          <w:color w:val="auto"/>
          <w:kern w:val="0"/>
          <w:sz w:val="24"/>
          <w:szCs w:val="24"/>
          <w:highlight w:val="none"/>
          <w:u w:val="none"/>
          <w:vertAlign w:val="baseline"/>
          <w:em w:val="none"/>
          <w:lang w:val="en-US" w:bidi="ar-SA" w:eastAsia="zh-CN"/>
        </w:rPr>
      </w:pPr>
      <w:bookmarkStart w:id="0" w:name="_GoBack"/>
      <w:bookmarkEnd w:id="0"/>
      <w:r>
        <w:rPr>
          <w:rFonts w:ascii="Arial" w:cs="Arial" w:eastAsia="宋体" w:hAnsi="Arial" w:hint="default"/>
          <w:b w:val="false"/>
          <w:bCs w:val="false"/>
          <w:i w:val="false"/>
          <w:iCs w:val="false"/>
          <w:color w:val="000000"/>
          <w:kern w:val="0"/>
          <w:sz w:val="32"/>
          <w:szCs w:val="32"/>
          <w:highlight w:val="none"/>
          <w:u w:val="none" w:color="auto"/>
          <w:vertAlign w:val="baseline"/>
          <w:em w:val="none"/>
          <w:lang w:val="en-US" w:bidi="ar-SA" w:eastAsia="zh-CN"/>
        </w:rPr>
        <w:t xml:space="preserve">            FREE MAN 自由人体育有限公司 </w:t>
      </w:r>
    </w:p>
    <w:p>
      <w:pPr>
        <w:pStyle w:val="style179"/>
        <w:numPr>
          <w:ilvl w:val="0"/>
          <w:numId w:val="3"/>
        </w:numPr>
        <w:adjustRightInd w:val="false"/>
        <w:snapToGrid w:val="false"/>
        <w:spacing w:lineRule="auto" w:line="360"/>
        <w:ind w:firstLineChars="0"/>
        <w:jc w:val="left"/>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pP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创业团队介绍</w:t>
      </w:r>
    </w:p>
    <w:p>
      <w:pPr>
        <w:numPr>
          <w:ilvl w:val="0"/>
          <w:numId w:val="0"/>
        </w:numPr>
        <w:adjustRightInd w:val="false"/>
        <w:snapToGrid w:val="false"/>
        <w:spacing w:lineRule="auto" w:line="360"/>
        <w:ind w:firstLineChars="200"/>
        <w:jc w:val="both"/>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FREE MAN </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自由人团队是以辽宁理工学院体育学院创新创业团队为主结合辽宁理工学院其他专业院系成员成立的创新创业训练项目团队，团队由汪余岭总体负责，校内指导教师为辽宁理工学院体育学院院长鲁俊华教授，校外指导导师为锦州帝豪斯集团总经理庞生。团队其他成员皆来自辽宁理工学院个专业院系，</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FREE</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MAN</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自由人团队</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设立</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总经理1人</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、办公室（财务</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后勤）1人</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、赛事策划部2人</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、培训部2人</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、市场开拓专职1人，另外以上人员兼任市场开拓</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并且</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配备一定的专职人员，并依托学校，培养学生梯队。</w:t>
      </w:r>
    </w:p>
    <w:p>
      <w:pPr>
        <w:pStyle w:val="style179"/>
        <w:numPr>
          <w:ilvl w:val="0"/>
          <w:numId w:val="3"/>
        </w:numPr>
        <w:adjustRightInd w:val="false"/>
        <w:snapToGrid w:val="false"/>
        <w:spacing w:lineRule="auto" w:line="360"/>
        <w:ind w:firstLineChars="0"/>
        <w:jc w:val="both"/>
        <w:rPr/>
      </w:pPr>
      <w:r>
        <w:rPr>
          <w:rFonts w:hint="eastAsia"/>
          <w:lang w:eastAsia="zh-CN"/>
        </w:rPr>
        <w:t xml:space="preserve"> 创业经历</w:t>
      </w:r>
    </w:p>
    <w:p>
      <w:pPr>
        <w:adjustRightInd w:val="false"/>
        <w:snapToGrid w:val="false"/>
        <w:spacing w:lineRule="auto" w:line="360"/>
        <w:jc w:val="both"/>
        <w:rPr/>
      </w:pP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FREE</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MAN</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自由人团队</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创立以学生为主导，联合校外实训基地，依托辽宁理工学院以及锦州帝豪斯集团两大平台开展业务实践，一切运营均以现实市场活动为主，实现具有与正常公司相同的业务与回报。</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目前</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锦州</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从事体育服务的市场潜力大，竞争对手不多，服务类型单一。根据我公司的产品线和市场容量，</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锦州free</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man</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自由人文化体育有限公司</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名师教育咨询有限公司是大有作为的。</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在前期发展阶段,公司的办公地点可以设置在社区（公司会履行相关的手续，获得所在地业主委员会的同意）,节约成本。公司主要做赛事策划和青少年体育培训，活动场馆都是通过租赁、合作经营取得，这方面固定资产不需要太多的投入。公司本主要为人力成本，而人力成本只有赛事发生后才产生，平时日常空闲公司要维持日常活动的几个工作人员即可。综上所述，目前1-3年公司所需投入较小，资金压力较小。资金来源主要为股东出资构成。</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到后期发展阶段，随着公司业务量的增加，这时就需要大量资金进入，公司投入的主要方向为硬件方面和软件方面。</w:t>
      </w:r>
    </w:p>
    <w:p>
      <w:pPr>
        <w:numPr>
          <w:ilvl w:val="0"/>
          <w:numId w:val="0"/>
        </w:numPr>
        <w:adjustRightInd w:val="false"/>
        <w:snapToGrid w:val="false"/>
        <w:spacing w:lineRule="auto" w:line="360"/>
        <w:jc w:val="both"/>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硬件方面主要包括公司固定资产投入主要为办公环境方面，公司定位为体育类服务性公司，公司形象在客户心中有较重要的作用，简单、大方的办公环境是我们发展过程中必要的环节。</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软件方面：如人力资源规划所述，</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free</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 xml:space="preserve"> </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man</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 xml:space="preserve"> </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自由人文化体育有限公司</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体育软件方面主要投入在人力资源上，同时公司也会结合高校的资源，来最大化的节约成本。产生的主要费用由裁判培训费用、趣味活动的创新费用、人才储备费用。</w:t>
      </w:r>
    </w:p>
    <w:p>
      <w:pPr>
        <w:pStyle w:val="style179"/>
        <w:numPr>
          <w:ilvl w:val="0"/>
          <w:numId w:val="3"/>
        </w:numPr>
        <w:adjustRightInd w:val="false"/>
        <w:snapToGrid w:val="false"/>
        <w:spacing w:lineRule="auto" w:line="360"/>
        <w:ind w:firstLineChars="0"/>
        <w:jc w:val="both"/>
        <w:rPr/>
      </w:pPr>
      <w:r>
        <w:rPr>
          <w:rFonts w:ascii="Arial" w:cs="Arial" w:eastAsia="宋体" w:hAnsi="Arial" w:hint="eastAsia"/>
          <w:b w:val="false"/>
          <w:bCs w:val="false"/>
          <w:i w:val="false"/>
          <w:iCs w:val="false"/>
          <w:color w:val="auto"/>
          <w:kern w:val="0"/>
          <w:sz w:val="24"/>
          <w:szCs w:val="24"/>
          <w:highlight w:val="none"/>
          <w:vertAlign w:val="baseline"/>
          <w:em w:val="none"/>
          <w:lang w:val="en-US" w:bidi="ar-SA" w:eastAsia="zh-CN"/>
        </w:rPr>
        <w:t xml:space="preserve"> 主要业务及产品</w:t>
      </w:r>
    </w:p>
    <w:p>
      <w:pPr>
        <w:pStyle w:val="style179"/>
        <w:numPr>
          <w:ilvl w:val="0"/>
          <w:numId w:val="4"/>
        </w:numPr>
        <w:adjustRightInd w:val="false"/>
        <w:snapToGrid w:val="false"/>
        <w:spacing w:lineRule="auto" w:line="360"/>
        <w:ind w:firstLineChars="0"/>
        <w:jc w:val="left"/>
        <w:rPr>
          <w:rFonts w:ascii="Arial" w:cs="Arial" w:eastAsia="宋体" w:hAnsi="Arial" w:hint="default"/>
          <w:b/>
          <w:bCs/>
          <w:i w:val="false"/>
          <w:iCs w:val="false"/>
          <w:color w:val="auto"/>
          <w:kern w:val="0"/>
          <w:sz w:val="24"/>
          <w:szCs w:val="24"/>
          <w:highlight w:val="none"/>
          <w:vertAlign w:val="baseline"/>
          <w:em w:val="none"/>
          <w:lang w:val="en-US" w:bidi="ar-SA" w:eastAsia="zh-CN"/>
        </w:rPr>
      </w:pPr>
      <w:r>
        <w:rPr>
          <w:rFonts w:ascii="宋体" w:cs="宋体" w:eastAsia="宋体" w:hAnsi="宋体" w:hint="default"/>
          <w:b w:val="false"/>
          <w:bCs w:val="false"/>
          <w:i w:val="false"/>
          <w:iCs w:val="false"/>
          <w:color w:val="auto"/>
          <w:kern w:val="0"/>
          <w:sz w:val="24"/>
          <w:szCs w:val="24"/>
          <w:highlight w:val="none"/>
          <w:vertAlign w:val="baseline"/>
          <w:em w:val="none"/>
          <w:lang w:val="en-US" w:bidi="ar-SA" w:eastAsia="zh-CN"/>
        </w:rPr>
        <w:t>体育赛事策划组织与体育拓展训练</w:t>
      </w:r>
      <w:r>
        <w:rPr>
          <w:rFonts w:ascii="宋体" w:cs="宋体" w:eastAsia="宋体" w:hAnsi="宋体" w:hint="eastAsia"/>
          <w:b w:val="false"/>
          <w:bCs w:val="false"/>
          <w:i w:val="false"/>
          <w:iCs w:val="false"/>
          <w:color w:val="auto"/>
          <w:kern w:val="0"/>
          <w:sz w:val="24"/>
          <w:szCs w:val="24"/>
          <w:highlight w:val="none"/>
          <w:vertAlign w:val="baseline"/>
          <w:em w:val="none"/>
          <w:lang w:val="en-US" w:bidi="ar-SA" w:eastAsia="zh-CN"/>
        </w:rPr>
        <w:t>。</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主要提供趣味运动会，篮球、足球、羽毛球、乒乓球、网球、田径等各类比赛组织策划，体育服装，奖杯奖牌，场地氛围布置，开闭幕式策划等。值得一提的是，我们精心研发出数十种精彩好玩、并且不断更新的趣味运动会项目数据库，既可以在陆上的，也可以是水上的项目。（参看下面“部分趣味项目”展示）从赛事活动的发起，组织方案，赛程编排，场地器材布置，裁判安排，排名颁奖，活动总结甚至包括比赛当天如需用餐，我们完全提供一站式的服务。当然，我们的服务对象也可以只选择其中某项或某几项服务，如裁判工作、编排工作。这种“可加可减”的菜单式服务，以满足不同企业的需求。同时为企业提供体育拓展训练。该产品主要与大足龙水湖大学校友开展的拓展训练公司采用联合经营的模式为企事业单位提供服务。</w:t>
      </w:r>
    </w:p>
    <w:p>
      <w:pPr>
        <w:pStyle w:val="style179"/>
        <w:numPr>
          <w:ilvl w:val="0"/>
          <w:numId w:val="4"/>
        </w:numPr>
        <w:adjustRightInd w:val="false"/>
        <w:snapToGrid w:val="false"/>
        <w:spacing w:lineRule="auto" w:line="360"/>
        <w:ind w:firstLineChars="0"/>
        <w:jc w:val="left"/>
        <w:rPr/>
      </w:pP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青少年体育培训。主要为6-22岁的青少年提供游泳、跆拳道、篮球、</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羽毛球</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等项目的专业技能培训。这个群体大多数为在校学生，我们以培训对象所在社区的体育设施为依托，就近就便的开展不同项目的培训，针对不同的年龄和学习要求，我们开设大班，一对一培训等服务。该产品既可以满足青少年人群强身健体、发展特长，又能针对性的发展青少年身体素质特长，为体育中高考取得好成绩助一臂之力。</w:t>
      </w:r>
    </w:p>
    <w:tbl>
      <w:tblPr>
        <w:jc w:val="left"/>
        <w:tblLayout w:type="fixed"/>
        <w:tblCellMar>
          <w:top w:w="0" w:type="dxa"/>
          <w:left w:w="108" w:type="dxa"/>
          <w:bottom w:w="0" w:type="dxa"/>
          <w:right w:w="108" w:type="dxa"/>
        </w:tblCellMar>
      </w:tblPr>
      <w:tblGrid>
        <w:gridCol w:w="1839"/>
        <w:gridCol w:w="1569"/>
        <w:gridCol w:w="1704"/>
        <w:gridCol w:w="1917"/>
        <w:gridCol w:w="1800"/>
      </w:tblGrid>
      <w:tr>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羽毛球培训</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基础班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包会班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提高班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私教班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一对一</w:t>
            </w:r>
          </w:p>
        </w:tc>
      </w:tr>
      <w:tr>
        <w:tblPrEx/>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价格</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500元/人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600元/人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700元/人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1200元/人</w:t>
            </w:r>
          </w:p>
        </w:tc>
      </w:tr>
    </w:tbl>
    <w:p>
      <w:pPr>
        <w:adjustRightInd w:val="false"/>
        <w:snapToGrid w:val="false"/>
        <w:spacing w:lineRule="auto" w:line="360"/>
        <w:jc w:val="both"/>
        <w:rPr/>
      </w:pPr>
    </w:p>
    <w:tbl>
      <w:tblPr>
        <w:jc w:val="left"/>
        <w:tblLayout w:type="fixed"/>
        <w:tblCellMar>
          <w:top w:w="0" w:type="dxa"/>
          <w:left w:w="108" w:type="dxa"/>
          <w:bottom w:w="0" w:type="dxa"/>
          <w:right w:w="108" w:type="dxa"/>
        </w:tblCellMar>
      </w:tblPr>
      <w:tblGrid>
        <w:gridCol w:w="1839"/>
        <w:gridCol w:w="1569"/>
        <w:gridCol w:w="1704"/>
        <w:gridCol w:w="1917"/>
        <w:gridCol w:w="1800"/>
      </w:tblGrid>
      <w:tr>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网球培训</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基础班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包会班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提高班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私教班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一对一</w:t>
            </w:r>
          </w:p>
        </w:tc>
      </w:tr>
      <w:tr>
        <w:tblPrEx/>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价格</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600元/人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800元/人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1000元/人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1500元/人</w:t>
            </w:r>
          </w:p>
        </w:tc>
      </w:tr>
    </w:tbl>
    <w:p>
      <w:pPr>
        <w:adjustRightInd w:val="false"/>
        <w:snapToGrid w:val="false"/>
        <w:spacing w:lineRule="auto" w:line="360"/>
        <w:jc w:val="both"/>
        <w:rPr/>
      </w:pPr>
    </w:p>
    <w:tbl>
      <w:tblPr>
        <w:jc w:val="left"/>
        <w:tblLayout w:type="fixed"/>
        <w:tblCellMar>
          <w:top w:w="0" w:type="dxa"/>
          <w:left w:w="108" w:type="dxa"/>
          <w:bottom w:w="0" w:type="dxa"/>
          <w:right w:w="108" w:type="dxa"/>
        </w:tblCellMar>
      </w:tblPr>
      <w:tblGrid>
        <w:gridCol w:w="1839"/>
        <w:gridCol w:w="1569"/>
        <w:gridCol w:w="1704"/>
        <w:gridCol w:w="1917"/>
        <w:gridCol w:w="1800"/>
      </w:tblGrid>
      <w:tr>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乒乓球培训</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基础班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包会班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提高班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（4-6人）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私教班</w:t>
            </w:r>
          </w:p>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一对一</w:t>
            </w:r>
          </w:p>
        </w:tc>
      </w:tr>
      <w:tr>
        <w:tblPrEx/>
        <w:trPr>
          <w:wBefore w:w="0" w:type="dxa"/>
          <w:cantSplit w:val="false"/>
          <w:tblHeader w:val="false"/>
          <w:jc w:val="left"/>
        </w:trPr>
        <w:tc>
          <w:tcPr>
            <w:tcW w:w="18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价格</w:t>
            </w:r>
          </w:p>
        </w:tc>
        <w:tc>
          <w:tcPr>
            <w:tcW w:w="15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400元/人</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500元/人</w:t>
            </w:r>
          </w:p>
        </w:tc>
        <w:tc>
          <w:tcPr>
            <w:tcW w:w="19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600元/人</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adjustRightInd w:val="false"/>
              <w:snapToGrid w:val="false"/>
              <w:spacing w:lineRule="auto" w:line="360"/>
              <w:jc w:val="both"/>
              <w:rPr/>
            </w:pPr>
            <w:r>
              <w:rPr>
                <w:rFonts w:ascii="宋体" w:cs="Arial" w:eastAsia="宋体" w:hAnsi="宋体" w:hint="default"/>
                <w:b w:val="false"/>
                <w:bCs w:val="false"/>
                <w:i w:val="false"/>
                <w:iCs w:val="false"/>
                <w:color w:val="auto"/>
                <w:kern w:val="0"/>
                <w:sz w:val="21"/>
                <w:szCs w:val="36"/>
                <w:highlight w:val="none"/>
                <w:vertAlign w:val="baseline"/>
                <w:em w:val="none"/>
                <w:lang w:val="en-US" w:bidi="ar-SA" w:eastAsia="zh-CN"/>
              </w:rPr>
              <w:t>1000元/人</w:t>
            </w:r>
          </w:p>
        </w:tc>
      </w:tr>
    </w:tbl>
    <w:p>
      <w:pPr>
        <w:numPr>
          <w:ilvl w:val="0"/>
          <w:numId w:val="0"/>
        </w:numPr>
        <w:adjustRightInd w:val="false"/>
        <w:snapToGrid w:val="false"/>
        <w:spacing w:lineRule="auto" w:line="360"/>
        <w:jc w:val="both"/>
        <w:rPr/>
      </w:pPr>
      <w:r>
        <w:rPr>
          <w:rFonts w:hint="eastAsia"/>
          <w:lang w:eastAsia="zh-CN"/>
        </w:rPr>
        <w:t>四  预期计划和目标</w:t>
      </w:r>
    </w:p>
    <w:p>
      <w:pPr>
        <w:adjustRightInd w:val="false"/>
        <w:snapToGrid w:val="false"/>
        <w:spacing w:lineRule="auto" w:line="360"/>
        <w:jc w:val="left"/>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据团队成员已经组织过的职工运动会，篮球比赛比赛等赛事的财务状况，公司已经熟悉各项成本、利润以及相关费用的比例关系，公司在实际运营过程中需要实际发生的费用，需要投入的固定资产等情况。结合市场营销策略，</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2017年业务量预测（以下均不含举办方根据比赛名次设置奖金、奖品费用）如下。</w:t>
      </w:r>
    </w:p>
    <w:p>
      <w:pPr>
        <w:adjustRightInd w:val="false"/>
        <w:snapToGrid w:val="false"/>
        <w:spacing w:lineRule="auto" w:line="360"/>
        <w:jc w:val="left"/>
        <w:rPr>
          <w:b w:val="false"/>
          <w:bCs w:val="false"/>
        </w:rPr>
      </w:pPr>
      <w:r>
        <w:rPr>
          <w:rFonts w:ascii="仿宋_GB2312" w:cs="Arial" w:eastAsia="仿宋_GB2312" w:hAnsi="仿宋_GB2312"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bCs/>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(1)篮球比赛：举办15次，预计产值15900元（每次以27场计算，含场地费）</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（2）羽毛球赛：举办15次，预计产值14500元（每次5片场地，比赛时间2天计算）</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（3）乒乓球比赛：举办15次，预计产值18500（以每次八个场地、比赛时间为一天计算，含场地费）</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（4）网球比赛：举办15次，预计产值19000元（以每次13场需两片场地计算，含场地费）</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（5）趣味运动会：举办10次，预计产值30000元（不含场地费，场地需要根据趣味项目内容定）</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（6）青少年体育培训：预计产值100000元（以5个高端社区为free man 自由人文化体育有限公司体育夏令营营分区，每个营分区招募50位营员计算）</w:t>
      </w:r>
    </w:p>
    <w:p>
      <w:pPr>
        <w:adjustRightInd w:val="false"/>
        <w:snapToGrid w:val="false"/>
        <w:spacing w:lineRule="auto" w:line="360"/>
        <w:jc w:val="left"/>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（7）体育拓展训练和企业体育营销公关：预计产值30000元。</w:t>
      </w:r>
    </w:p>
    <w:p>
      <w:pPr>
        <w:pStyle w:val="style0"/>
        <w:numPr>
          <w:ilvl w:val="0"/>
          <w:numId w:val="0"/>
        </w:numPr>
        <w:adjustRightInd w:val="false"/>
        <w:snapToGrid w:val="false"/>
        <w:spacing w:lineRule="auto" w:line="360"/>
        <w:jc w:val="both"/>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总计：227900</w:t>
      </w:r>
    </w:p>
    <w:p>
      <w:pPr>
        <w:pStyle w:val="style0"/>
        <w:numPr>
          <w:ilvl w:val="0"/>
          <w:numId w:val="0"/>
        </w:numPr>
        <w:adjustRightInd w:val="false"/>
        <w:snapToGrid w:val="false"/>
        <w:spacing w:lineRule="auto" w:line="360"/>
        <w:ind w:firstLineChars="200"/>
        <w:jc w:val="both"/>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以上的资金来源，除了前面经营过程中的累积未分配利润，公司筹资渠道可以通过股东增资方式筹得，可以通过银行短期借款、长期借款获得。通常银行不要抵押物的信用贷款一般在20万以内。超过20万的贷款银行一般会要求有抵押物，以公司的运营情况和实际的资产规模，通过抵押贷款比较困难，因为公司实物资产像房产和机器设之内的大型固定资产较少，所以公司还是会通过股东自己的实体资产要么通过评估增资进入公司资产，要么通过股东贷款，公司以其他应付款的方式获得借款。如果公司在未来5年内发展顺利，业态不断扩大，公司不排除争取风险投资公司进入。</w:t>
      </w:r>
    </w:p>
    <w:p>
      <w:pPr>
        <w:pStyle w:val="style0"/>
        <w:numPr>
          <w:ilvl w:val="0"/>
          <w:numId w:val="0"/>
        </w:numPr>
        <w:adjustRightInd w:val="false"/>
        <w:snapToGrid w:val="false"/>
        <w:spacing w:lineRule="auto" w:line="360"/>
        <w:jc w:val="both"/>
        <w:rPr>
          <w:b w:val="false"/>
          <w:bCs w:val="false"/>
        </w:rPr>
      </w:pP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五</w:t>
      </w: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实际存在的问题</w:t>
      </w:r>
    </w:p>
    <w:p>
      <w:pPr>
        <w:pStyle w:val="style0"/>
        <w:numPr>
          <w:ilvl w:val="0"/>
          <w:numId w:val="0"/>
        </w:numPr>
        <w:adjustRightInd w:val="false"/>
        <w:snapToGrid w:val="false"/>
        <w:spacing w:lineRule="auto" w:line="360"/>
        <w:jc w:val="both"/>
        <w:rPr>
          <w:b w:val="false"/>
          <w:bCs w:val="false"/>
        </w:rPr>
      </w:pPr>
      <w:r>
        <w:rPr>
          <w:rFonts w:ascii="宋体" w:cs="Arial" w:eastAsia="宋体" w:hAnsi="宋体" w:hint="default"/>
          <w:b w:val="false"/>
          <w:bCs w:val="false"/>
          <w:i w:val="false"/>
          <w:iCs w:val="false"/>
          <w:color w:val="auto"/>
          <w:kern w:val="0"/>
          <w:sz w:val="24"/>
          <w:szCs w:val="24"/>
          <w:highlight w:val="none"/>
          <w:vertAlign w:val="baseline"/>
          <w:em w:val="none"/>
          <w:lang w:val="en-US" w:bidi="ar-SA" w:eastAsia="zh-CN"/>
        </w:rPr>
        <w:t xml:space="preserve">   (</w:t>
      </w:r>
      <w:r>
        <w:rPr>
          <w:rFonts w:ascii="宋体" w:cs="Arial" w:eastAsia="宋体" w:hAnsi="宋体" w:hint="eastAsia"/>
          <w:b w:val="false"/>
          <w:bCs w:val="false"/>
          <w:i w:val="false"/>
          <w:iCs w:val="false"/>
          <w:color w:val="auto"/>
          <w:kern w:val="0"/>
          <w:sz w:val="24"/>
          <w:szCs w:val="24"/>
          <w:highlight w:val="none"/>
          <w:vertAlign w:val="baseline"/>
          <w:em w:val="none"/>
          <w:lang w:val="en-US" w:bidi="ar-SA" w:eastAsia="zh-CN"/>
        </w:rPr>
        <w:t>一）受到疫情影响，政府对于聚集性体育运动采取管控措施</w:t>
      </w:r>
      <w:r>
        <w:rPr>
          <w:rFonts w:ascii="宋体" w:cs="Arial" w:hAnsi="宋体" w:hint="eastAsia"/>
          <w:b w:val="false"/>
          <w:bCs w:val="false"/>
          <w:i w:val="false"/>
          <w:iCs w:val="false"/>
          <w:color w:val="auto"/>
          <w:kern w:val="0"/>
          <w:sz w:val="24"/>
          <w:szCs w:val="24"/>
          <w:highlight w:val="none"/>
          <w:vertAlign w:val="baseline"/>
          <w:em w:val="none"/>
          <w:lang w:val="en-US" w:bidi="ar-SA" w:eastAsia="zh-CN"/>
        </w:rPr>
        <w:t>，影响业务的开展，同时由于受到疫情影响居民收入水平普遍降低导致在体育消费上占比有所下降。</w:t>
      </w:r>
    </w:p>
    <w:p>
      <w:pPr>
        <w:adjustRightInd w:val="false"/>
        <w:snapToGrid w:val="false"/>
        <w:spacing w:lineRule="auto" w:line="360"/>
        <w:ind w:firstLine="460" w:firstLineChars="200"/>
        <w:jc w:val="both"/>
        <w:rPr>
          <w:b w:val="false"/>
          <w:bCs w:val="false"/>
        </w:rPr>
      </w:pPr>
      <w:r>
        <w:rPr>
          <w:rFonts w:ascii="宋体" w:cs="Arial" w:hAnsi="宋体" w:hint="eastAsia"/>
          <w:b w:val="false"/>
          <w:bCs w:val="false"/>
          <w:i w:val="false"/>
          <w:iCs w:val="false"/>
          <w:color w:val="auto"/>
          <w:kern w:val="0"/>
          <w:sz w:val="24"/>
          <w:szCs w:val="24"/>
          <w:highlight w:val="none"/>
          <w:vertAlign w:val="baseline"/>
          <w:em w:val="none"/>
          <w:lang w:val="en-US" w:bidi="ar-SA" w:eastAsia="zh-CN"/>
        </w:rPr>
        <w:t xml:space="preserve">  （二）</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体育项目作为人直接参与的活动，最重大的风险是在组织活动过程中，参与者的人身安全问题、项目本身危险性。这是体育培训和体育赛事组织中存在的风险。在竞争者方面。相继企业迅猛发展，将带来严峻的竞争局面。在产品方面。如果不及时优化和调整，也有可能遭受被顾客“喜新厌旧”的一天。公司自身发展方面。团队成员在价值观上难免会有一些不一致的地方，在后期规模扩张阶段，符合企业要求的高素质的体育产业管理人才恐怕难以为继。</w:t>
      </w:r>
    </w:p>
    <w:p>
      <w:pPr>
        <w:pStyle w:val="style0"/>
        <w:adjustRightInd w:val="false"/>
        <w:snapToGrid w:val="false"/>
        <w:spacing w:lineRule="auto" w:line="360"/>
        <w:jc w:val="both"/>
        <w:rPr>
          <w:b w:val="false"/>
          <w:bCs w:val="false"/>
        </w:rPr>
      </w:pPr>
      <w:r>
        <w:rPr>
          <w:rFonts w:ascii="Arial" w:cs="Arial" w:eastAsia="宋体" w:hAnsi="Arial" w:hint="eastAsia"/>
          <w:b w:val="false"/>
          <w:bCs w:val="false"/>
          <w:i w:val="false"/>
          <w:iCs w:val="false"/>
          <w:color w:val="auto"/>
          <w:kern w:val="0"/>
          <w:sz w:val="24"/>
          <w:szCs w:val="24"/>
          <w:highlight w:val="none"/>
          <w:vertAlign w:val="baseline"/>
          <w:em w:val="none"/>
          <w:lang w:val="en-US" w:bidi="ar-SA" w:eastAsia="zh-CN"/>
        </w:rPr>
        <w:t>六     收获</w:t>
      </w:r>
    </w:p>
    <w:p>
      <w:pPr>
        <w:pStyle w:val="style0"/>
        <w:adjustRightInd w:val="false"/>
        <w:snapToGrid w:val="false"/>
        <w:spacing w:lineRule="auto" w:line="360"/>
        <w:jc w:val="both"/>
        <w:rPr>
          <w:b w:val="false"/>
          <w:bCs w:val="false"/>
        </w:rPr>
      </w:pP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 xml:space="preserve">    </w:t>
      </w:r>
      <w:r>
        <w:rPr>
          <w:rFonts w:ascii="Arial" w:cs="Arial" w:eastAsia="宋体" w:hAnsi="Arial" w:hint="eastAsia"/>
          <w:b w:val="false"/>
          <w:bCs w:val="false"/>
          <w:i w:val="false"/>
          <w:iCs w:val="false"/>
          <w:color w:val="auto"/>
          <w:kern w:val="0"/>
          <w:sz w:val="24"/>
          <w:szCs w:val="24"/>
          <w:highlight w:val="none"/>
          <w:vertAlign w:val="baseline"/>
          <w:em w:val="none"/>
          <w:lang w:val="en-US" w:bidi="ar-SA" w:eastAsia="zh-CN"/>
        </w:rPr>
        <w:t>通过项目开展，使得参与学生能够将理论知识与市场需求相结合，在企业导师的指导下切实感受到市场竞争</w:t>
      </w:r>
      <w:r>
        <w:rPr>
          <w:rFonts w:ascii="Arial" w:cs="Arial" w:hAnsi="Arial" w:hint="eastAsia"/>
          <w:b w:val="false"/>
          <w:bCs w:val="false"/>
          <w:i w:val="false"/>
          <w:iCs w:val="false"/>
          <w:color w:val="auto"/>
          <w:kern w:val="0"/>
          <w:sz w:val="24"/>
          <w:szCs w:val="24"/>
          <w:highlight w:val="none"/>
          <w:vertAlign w:val="baseline"/>
          <w:em w:val="none"/>
          <w:lang w:val="en-US" w:bidi="ar-SA" w:eastAsia="zh-CN"/>
        </w:rPr>
        <w:t>，</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学生的创造性是最强的，在趣味赛事活动的设置方面，依托大学生来设计，来创造，需要做的就是将任务及要求告知，在他们上课或者业余活动中积累灵感，创造出符合实际的趣味赛事活动</w:t>
      </w:r>
      <w:r>
        <w:rPr>
          <w:rFonts w:ascii="Arial" w:cs="Arial" w:eastAsia="宋体" w:hAnsi="Arial" w:hint="eastAsia"/>
          <w:b w:val="false"/>
          <w:bCs w:val="false"/>
          <w:i w:val="false"/>
          <w:iCs w:val="false"/>
          <w:color w:val="auto"/>
          <w:kern w:val="0"/>
          <w:sz w:val="24"/>
          <w:szCs w:val="24"/>
          <w:highlight w:val="none"/>
          <w:vertAlign w:val="baseline"/>
          <w:em w:val="none"/>
          <w:lang w:val="en-US" w:bidi="ar-SA" w:eastAsia="zh-CN"/>
        </w:rPr>
        <w:t>。</w:t>
      </w:r>
    </w:p>
    <w:p>
      <w:pPr>
        <w:pStyle w:val="style0"/>
        <w:adjustRightInd w:val="false"/>
        <w:snapToGrid w:val="false"/>
        <w:spacing w:lineRule="auto" w:line="360"/>
        <w:jc w:val="both"/>
        <w:rPr>
          <w:b w:val="false"/>
          <w:bCs w:val="false"/>
        </w:rPr>
      </w:pP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 xml:space="preserve">    在</w:t>
      </w:r>
      <w:r>
        <w:rPr>
          <w:rFonts w:ascii="Arial" w:cs="Arial" w:eastAsia="宋体" w:hAnsi="Arial" w:hint="eastAsia"/>
          <w:b w:val="false"/>
          <w:bCs w:val="false"/>
          <w:i w:val="false"/>
          <w:iCs w:val="false"/>
          <w:color w:val="auto"/>
          <w:kern w:val="0"/>
          <w:sz w:val="24"/>
          <w:szCs w:val="24"/>
          <w:highlight w:val="none"/>
          <w:vertAlign w:val="baseline"/>
          <w:em w:val="none"/>
          <w:lang w:val="en-US" w:bidi="ar-SA" w:eastAsia="zh-CN"/>
        </w:rPr>
        <w:t>实践</w:t>
      </w: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过程中,赛事的成功举办离不开重要的裁判工作。在裁判上高校体育专业的学生专业课都会涉及裁判培训的课程，我们只需要做的就是在大学课程基础上加上礼仪、以及裁判过程中突发事件处理方法的培训即可。这样一方面节约了我们的人力成本，也给在校大学生带来实践机会以及相应的经济回报。</w:t>
      </w:r>
    </w:p>
    <w:p>
      <w:pPr>
        <w:pStyle w:val="style0"/>
        <w:adjustRightInd w:val="false"/>
        <w:snapToGrid w:val="false"/>
        <w:spacing w:lineRule="auto" w:line="360"/>
        <w:ind w:firstLineChars="200"/>
        <w:jc w:val="both"/>
        <w:rPr>
          <w:b w:val="false"/>
          <w:bCs w:val="false"/>
        </w:rPr>
      </w:pPr>
      <w:r>
        <w:rPr>
          <w:rFonts w:ascii="Arial" w:cs="Arial" w:eastAsia="宋体" w:hAnsi="Arial" w:hint="default"/>
          <w:b w:val="false"/>
          <w:bCs w:val="false"/>
          <w:i w:val="false"/>
          <w:iCs w:val="false"/>
          <w:color w:val="auto"/>
          <w:kern w:val="0"/>
          <w:sz w:val="24"/>
          <w:szCs w:val="24"/>
          <w:highlight w:val="none"/>
          <w:vertAlign w:val="baseline"/>
          <w:em w:val="none"/>
          <w:lang w:val="en-US" w:bidi="ar-SA" w:eastAsia="zh-CN"/>
        </w:rPr>
        <w:t>人员素质在公司发展过程中起着至关重要的作用，所以软件方面主要投入在人力资源上，同时结合高校的资源，最大化节约我们成本。</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黑体">
    <w:altName w:val="宋体"/>
    <w:panose1 w:val="02010600030001010101"/>
    <w:charset w:val="7a"/>
    <w:family w:val="auto"/>
    <w:pitch w:val="default"/>
    <w:sig w:usb0="00000003" w:usb1="080E0000" w:usb2="00000000" w:usb3="00000000" w:csb0="00040001" w:csb1="00000000"/>
  </w:font>
  <w:font w:name="仿宋_GB2312">
    <w:altName w:val="Times New Roman"/>
    <w:panose1 w:val="02020603050005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ABAFAC6"/>
    <w:lvl w:ilvl="0" w:tplc="0409000F">
      <w:start w:val="1"/>
      <w:numFmt w:val="chineseCounting"/>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000001"/>
    <w:multiLevelType w:val="hybridMultilevel"/>
    <w:tmpl w:val="176ABE8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 w:numId="3">
    <w:abstractNumId w:val="0"/>
  </w:num>
  <w:num w:numId="4">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
    <w:name w:val="heading 1"/>
    <w:basedOn w:val="style0"/>
    <w:next w:val="style4094"/>
    <w:pPr>
      <w:keepNext/>
      <w:keepLines/>
      <w:widowControl w:val="false"/>
      <w:adjustRightInd w:val="false"/>
      <w:snapToGrid w:val="false"/>
      <w:spacing w:before="0" w:after="0" w:lineRule="auto" w:line="360"/>
      <w:ind w:left="510" w:right="0"/>
      <w:jc w:val="center"/>
      <w:outlineLvl w:val="0"/>
    </w:pPr>
    <w:rPr>
      <w:rFonts w:ascii="Times New Roman" w:cs="Times New Roman" w:eastAsia="黑体" w:hAnsi="Times New Roman"/>
      <w:b/>
      <w:bCs/>
      <w:kern w:val="44"/>
      <w:sz w:val="32"/>
      <w:szCs w:val="44"/>
      <w:lang w:val="en-US" w:bidi="ar-SA" w:eastAsia="zh-CN"/>
    </w:rPr>
  </w:style>
  <w:style w:type="paragraph" w:styleId="style2">
    <w:name w:val="heading 2"/>
    <w:basedOn w:val="style0"/>
    <w:next w:val="style4094"/>
    <w:pPr>
      <w:keepNext/>
      <w:keepLines/>
      <w:widowControl w:val="false"/>
      <w:adjustRightInd w:val="false"/>
      <w:snapToGrid w:val="false"/>
      <w:spacing w:after="0" w:lineRule="auto" w:line="360"/>
      <w:jc w:val="left"/>
      <w:outlineLvl w:val="1"/>
    </w:pPr>
    <w:rPr>
      <w:rFonts w:ascii="Arial" w:cs="Times New Roman" w:eastAsia="黑体" w:hAnsi="Arial"/>
      <w:b/>
      <w:bCs/>
      <w:kern w:val="0"/>
      <w:sz w:val="28"/>
      <w:szCs w:val="32"/>
      <w:lang w:val="en-US" w:bidi="ar-SA" w:eastAsia="zh-CN"/>
    </w:rPr>
  </w:style>
  <w:style w:type="paragraph" w:styleId="style32">
    <w:name w:val="footer"/>
    <w:basedOn w:val="style0"/>
    <w:next w:val="style4094"/>
    <w:pPr>
      <w:widowControl w:val="false"/>
      <w:tabs>
        <w:tab w:val="center" w:leader="none" w:pos="4140"/>
        <w:tab w:val="right" w:leader="none" w:pos="8300"/>
      </w:tabs>
      <w:snapToGrid w:val="false"/>
      <w:spacing w:after="0"/>
      <w:jc w:val="left"/>
    </w:pPr>
    <w:rPr>
      <w:rFonts w:ascii="Times New Roman" w:cs="Times New Roman" w:eastAsia="宋体" w:hAnsi="Times New Roman"/>
      <w:kern w:val="2"/>
      <w:sz w:val="18"/>
      <w:szCs w:val="18"/>
      <w:lang w:val="en-US" w:bidi="ar-SA" w:eastAsia="zh-CN"/>
    </w:rPr>
  </w:style>
  <w:style w:type="paragraph" w:styleId="style3">
    <w:name w:val="heading 3"/>
    <w:basedOn w:val="style0"/>
    <w:next w:val="style4094"/>
    <w:pPr>
      <w:widowControl/>
      <w:spacing w:after="0"/>
      <w:jc w:val="left"/>
      <w:outlineLvl w:val="2"/>
    </w:pPr>
    <w:rPr>
      <w:rFonts w:ascii="宋体" w:cs="Times New Roman" w:eastAsia="黑体" w:hAnsi="宋体"/>
      <w:b/>
      <w:bCs/>
      <w:color w:val="000000"/>
      <w:kern w:val="0"/>
      <w:sz w:val="28"/>
      <w:szCs w:val="24"/>
      <w:lang w:val="en-US" w:bidi="ar-SA" w:eastAsia="zh-CN"/>
    </w:rPr>
  </w:style>
  <w:style w:type="paragraph" w:styleId="style31">
    <w:name w:val="header"/>
    <w:basedOn w:val="style0"/>
    <w:next w:val="style4094"/>
    <w:pPr>
      <w:widowControl w:val="false"/>
      <w:pBdr>
        <w:bottom w:val="single" w:sz="6" w:space="1" w:color="auto"/>
      </w:pBdr>
      <w:tabs>
        <w:tab w:val="center" w:leader="none" w:pos="4140"/>
        <w:tab w:val="right" w:leader="none" w:pos="8300"/>
      </w:tabs>
      <w:snapToGrid w:val="false"/>
      <w:spacing w:after="0"/>
      <w:jc w:val="center"/>
    </w:pPr>
    <w:rPr>
      <w:rFonts w:ascii="Times New Roman" w:cs="Times New Roman" w:eastAsia="宋体" w:hAnsi="Times New Roman"/>
      <w:kern w:val="2"/>
      <w:sz w:val="18"/>
      <w:szCs w:val="18"/>
      <w:lang w:val="en-US" w:bidi="ar-SA" w:eastAsia="zh-CN"/>
    </w:rPr>
  </w:style>
  <w:style w:type="character" w:styleId="style41">
    <w:name w:val="page number"/>
    <w:basedOn w:val="style65"/>
    <w:next w:val="style4094"/>
    <w:rPr>
      <w:rFonts w:ascii="Times New Roman" w:cs="Times New Roman" w:eastAsia="宋体" w:hAnsi="Times New Roman"/>
      <w:sz w:val="21"/>
    </w:rPr>
  </w:style>
  <w:style w:type="paragraph" w:styleId="style20">
    <w:name w:val="toc 2"/>
    <w:basedOn w:val="style0"/>
    <w:next w:val="style4094"/>
    <w:pPr>
      <w:widowControl w:val="false"/>
      <w:spacing w:before="0" w:after="0"/>
      <w:ind w:left="420" w:leftChars="200" w:right="0"/>
      <w:jc w:val="both"/>
    </w:pPr>
    <w:rPr>
      <w:rFonts w:ascii="Times New Roman" w:cs="Times New Roman" w:eastAsia="宋体" w:hAnsi="Times New Roman"/>
      <w:kern w:val="2"/>
      <w:sz w:val="21"/>
      <w:szCs w:val="24"/>
      <w:lang w:val="en-US" w:bidi="ar-SA" w:eastAsia="zh-CN"/>
    </w:rPr>
  </w:style>
  <w:style w:type="paragraph" w:styleId="style21">
    <w:name w:val="toc 3"/>
    <w:basedOn w:val="style0"/>
    <w:next w:val="style4094"/>
    <w:pPr>
      <w:widowControl w:val="false"/>
      <w:spacing w:before="0" w:after="0"/>
      <w:ind w:left="840" w:leftChars="400" w:right="0"/>
      <w:jc w:val="both"/>
    </w:pPr>
    <w:rPr>
      <w:rFonts w:ascii="Times New Roman" w:cs="Times New Roman" w:eastAsia="宋体" w:hAnsi="Times New Roman"/>
      <w:kern w:val="2"/>
      <w:sz w:val="21"/>
      <w:szCs w:val="24"/>
      <w:lang w:val="en-US" w:bidi="ar-SA" w:eastAsia="zh-CN"/>
    </w:rPr>
  </w:style>
  <w:style w:type="paragraph" w:styleId="style19">
    <w:name w:val="toc 1"/>
    <w:basedOn w:val="style0"/>
    <w:next w:val="style4094"/>
    <w:pPr>
      <w:widowControl w:val="false"/>
      <w:spacing w:after="0"/>
      <w:jc w:val="both"/>
    </w:pPr>
    <w:rPr>
      <w:rFonts w:ascii="Times New Roman" w:cs="Times New Roman" w:eastAsia="宋体" w:hAnsi="Times New Roman"/>
      <w:kern w:val="2"/>
      <w:sz w:val="21"/>
      <w:szCs w:val="24"/>
      <w:lang w:val="en-US" w:bidi="ar-SA" w:eastAsia="zh-CN"/>
    </w:rPr>
  </w:style>
  <w:style w:type="paragraph" w:styleId="style179">
    <w:name w:val="List Paragraph"/>
    <w:basedOn w:val="style0"/>
    <w:qFormat/>
    <w:uiPriority w:val="34"/>
    <w:pPr>
      <w:ind w:firstLine="420" w:firstLineChars="20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2802</Words>
  <Characters>2937</Characters>
  <Application>WPS Office</Application>
  <Paragraphs>78</Paragraphs>
  <CharactersWithSpaces>3062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2022-04-19T06:14:12Z</dcterms:created>
  <dc:creator>M2105K81C</dc:creator>
  <lastModifiedBy>M2105K81C</lastModifiedBy>
  <dcterms:modified xsi:type="dcterms:W3CDTF">2022-04-19T07:03:29Z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586f4baf0f3044bbbc7a753dbde7ff9a</vt:lpwstr>
  </property>
</Properties>
</file>