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outlineLvl w:val="0"/>
        <w:rPr>
          <w:rFonts w:ascii="仿宋_GB2312" w:hAnsi="黑体" w:eastAsia="仿宋_GB2312"/>
          <w:b/>
          <w:bCs/>
          <w:sz w:val="32"/>
          <w:szCs w:val="32"/>
        </w:rPr>
      </w:pPr>
      <w:bookmarkStart w:id="0" w:name="_GoBack"/>
      <w:r>
        <w:rPr>
          <w:rFonts w:hint="eastAsia" w:ascii="仿宋_GB2312" w:hAnsi="黑体" w:eastAsia="仿宋_GB2312"/>
          <w:b/>
          <w:bCs/>
          <w:sz w:val="32"/>
          <w:szCs w:val="32"/>
        </w:rPr>
        <w:t>辽宁理工学院20</w:t>
      </w:r>
      <w:r>
        <w:rPr>
          <w:rFonts w:hint="eastAsia" w:ascii="仿宋_GB2312" w:hAnsi="黑体" w:eastAsia="仿宋_GB2312"/>
          <w:b/>
          <w:bCs/>
          <w:sz w:val="32"/>
          <w:szCs w:val="32"/>
          <w:lang w:val="en-US" w:eastAsia="zh-CN"/>
        </w:rPr>
        <w:t>21</w:t>
      </w:r>
      <w:r>
        <w:rPr>
          <w:rFonts w:hint="eastAsia" w:ascii="仿宋_GB2312" w:hAnsi="黑体" w:eastAsia="仿宋_GB2312"/>
          <w:b/>
          <w:bCs/>
          <w:sz w:val="32"/>
          <w:szCs w:val="32"/>
        </w:rPr>
        <w:t>年教学改革研究项目立项验收结果</w:t>
      </w:r>
    </w:p>
    <w:bookmarkEnd w:id="0"/>
    <w:tbl>
      <w:tblPr>
        <w:tblStyle w:val="3"/>
        <w:tblW w:w="10410" w:type="dxa"/>
        <w:tblInd w:w="-9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5836"/>
        <w:gridCol w:w="1656"/>
        <w:gridCol w:w="1178"/>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pPr>
              <w:adjustRightInd w:val="0"/>
              <w:jc w:val="center"/>
              <w:outlineLvl w:val="0"/>
              <w:rPr>
                <w:rFonts w:hint="eastAsia" w:ascii="仿宋_GB2312" w:hAnsi="黑体" w:eastAsia="仿宋_GB2312"/>
                <w:b/>
                <w:bCs/>
                <w:sz w:val="28"/>
                <w:szCs w:val="28"/>
                <w:lang w:eastAsia="zh-CN"/>
              </w:rPr>
            </w:pPr>
            <w:r>
              <w:rPr>
                <w:rFonts w:hint="eastAsia" w:ascii="仿宋_GB2312" w:hAnsi="黑体" w:eastAsia="仿宋_GB2312"/>
                <w:b/>
                <w:bCs/>
                <w:sz w:val="28"/>
                <w:szCs w:val="28"/>
                <w:lang w:eastAsia="zh-CN"/>
              </w:rPr>
              <w:t>序号</w:t>
            </w:r>
          </w:p>
        </w:tc>
        <w:tc>
          <w:tcPr>
            <w:tcW w:w="5836" w:type="dxa"/>
          </w:tcPr>
          <w:p>
            <w:pPr>
              <w:adjustRightInd w:val="0"/>
              <w:jc w:val="center"/>
              <w:outlineLvl w:val="0"/>
              <w:rPr>
                <w:rFonts w:ascii="仿宋_GB2312" w:hAnsi="黑体" w:eastAsia="仿宋_GB2312"/>
                <w:b/>
                <w:bCs/>
                <w:sz w:val="28"/>
                <w:szCs w:val="28"/>
              </w:rPr>
            </w:pPr>
            <w:r>
              <w:rPr>
                <w:rFonts w:hint="eastAsia" w:ascii="仿宋_GB2312" w:hAnsi="黑体" w:eastAsia="仿宋_GB2312"/>
                <w:b/>
                <w:bCs/>
                <w:sz w:val="28"/>
                <w:szCs w:val="28"/>
              </w:rPr>
              <w:t>项目名称</w:t>
            </w:r>
          </w:p>
        </w:tc>
        <w:tc>
          <w:tcPr>
            <w:tcW w:w="1656" w:type="dxa"/>
          </w:tcPr>
          <w:p>
            <w:pPr>
              <w:adjustRightInd w:val="0"/>
              <w:jc w:val="center"/>
              <w:outlineLvl w:val="0"/>
              <w:rPr>
                <w:rFonts w:ascii="仿宋_GB2312" w:hAnsi="黑体" w:eastAsia="仿宋_GB2312"/>
                <w:b/>
                <w:bCs/>
                <w:sz w:val="28"/>
                <w:szCs w:val="28"/>
              </w:rPr>
            </w:pPr>
            <w:r>
              <w:rPr>
                <w:rFonts w:hint="eastAsia" w:ascii="仿宋_GB2312" w:hAnsi="黑体" w:eastAsia="仿宋_GB2312"/>
                <w:b/>
                <w:bCs/>
                <w:sz w:val="28"/>
                <w:szCs w:val="28"/>
              </w:rPr>
              <w:t>所在单位</w:t>
            </w:r>
          </w:p>
        </w:tc>
        <w:tc>
          <w:tcPr>
            <w:tcW w:w="1178" w:type="dxa"/>
          </w:tcPr>
          <w:p>
            <w:pPr>
              <w:adjustRightInd w:val="0"/>
              <w:jc w:val="center"/>
              <w:outlineLvl w:val="0"/>
              <w:rPr>
                <w:rFonts w:ascii="仿宋_GB2312" w:hAnsi="黑体" w:eastAsia="仿宋_GB2312"/>
                <w:b/>
                <w:bCs/>
                <w:sz w:val="28"/>
                <w:szCs w:val="28"/>
              </w:rPr>
            </w:pPr>
            <w:r>
              <w:rPr>
                <w:rFonts w:hint="eastAsia" w:ascii="仿宋_GB2312" w:hAnsi="黑体" w:eastAsia="仿宋_GB2312"/>
                <w:b/>
                <w:bCs/>
                <w:sz w:val="28"/>
                <w:szCs w:val="28"/>
              </w:rPr>
              <w:t>负责人</w:t>
            </w:r>
          </w:p>
        </w:tc>
        <w:tc>
          <w:tcPr>
            <w:tcW w:w="945" w:type="dxa"/>
          </w:tcPr>
          <w:p>
            <w:pPr>
              <w:adjustRightInd w:val="0"/>
              <w:jc w:val="center"/>
              <w:outlineLvl w:val="0"/>
              <w:rPr>
                <w:rFonts w:ascii="仿宋_GB2312" w:hAnsi="黑体" w:eastAsia="仿宋_GB2312"/>
                <w:b/>
                <w:bCs/>
                <w:sz w:val="28"/>
                <w:szCs w:val="28"/>
              </w:rPr>
            </w:pPr>
            <w:r>
              <w:rPr>
                <w:rFonts w:hint="eastAsia" w:ascii="仿宋_GB2312" w:hAnsi="黑体" w:eastAsia="仿宋_GB2312"/>
                <w:b/>
                <w:bCs/>
                <w:sz w:val="28"/>
                <w:szCs w:val="2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1</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应用型本科院校大学物理教学模式改革与研究</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基础教学部</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罗苏宁</w:t>
            </w:r>
          </w:p>
        </w:tc>
        <w:tc>
          <w:tcPr>
            <w:tcW w:w="94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2</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“四位一体”应用型艺工融合人才培养模式研究与实践</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艺术与景观设计学院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马千里</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3</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“新工科”背景下工程训练中心开放式教学建设探索</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工程训练中心</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纪伟明</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4</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新工科背景下基于能力与就业导向的PLC实践教学改革探索与实践</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智能工程学院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周丹</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5</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虚拟现实与增强现实技术在“电工电子技术”实践教学中的应用研究</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智能工程学院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史添添</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6</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美育课程中融入思政育人教学研究与实践</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文化传媒学院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刘巧玲</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7</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新工科背景下电子商务专业应用型人才培养的探索与实践</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信息工程学院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邰丽</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8</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《平面构成》课程建设实践与研究</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艺术与景观设计学院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王刚</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9</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环境设计专业工作室四位一体实践教学改革</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艺术与景观设计学院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谢地</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10</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《传感器原理及应用》综合设计性实验的设计与应用研究</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机电工程学院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张晚青</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11</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高校创新创业教育师资队伍存在的问题及对策研究</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信息工程学院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王学艳</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12</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default" w:ascii="仿宋_GB2312" w:hAnsi="黑体" w:eastAsia="仿宋_GB2312"/>
                <w:sz w:val="24"/>
                <w:szCs w:val="24"/>
                <w:lang w:val="en-US" w:eastAsia="zh-CN"/>
              </w:rPr>
              <w:t>新文科视域下智能会计人才能力提升策略研究</w:t>
            </w:r>
          </w:p>
        </w:tc>
        <w:tc>
          <w:tcPr>
            <w:tcW w:w="1656" w:type="dxa"/>
            <w:vAlign w:val="center"/>
          </w:tcPr>
          <w:p>
            <w:pPr>
              <w:keepNext w:val="0"/>
              <w:keepLines w:val="0"/>
              <w:widowControl/>
              <w:suppressLineNumbers w:val="0"/>
              <w:jc w:val="center"/>
              <w:textAlignment w:val="center"/>
              <w:rPr>
                <w:rFonts w:hint="default" w:ascii="仿宋_GB2312" w:hAnsi="黑体" w:eastAsia="仿宋_GB2312"/>
                <w:sz w:val="24"/>
                <w:szCs w:val="24"/>
                <w:lang w:val="en-US" w:eastAsia="zh-CN"/>
              </w:rPr>
            </w:pPr>
            <w:r>
              <w:rPr>
                <w:rFonts w:hint="eastAsia" w:ascii="仿宋_GB2312" w:hAnsi="黑体" w:eastAsia="仿宋_GB2312"/>
                <w:sz w:val="24"/>
                <w:szCs w:val="24"/>
                <w:lang w:eastAsia="zh-CN"/>
              </w:rPr>
              <w:t>工商管理学院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宋红尔</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13</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应用型本科经济管理类专业命题质量提升路径</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工商管理学院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杨柳</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14</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新工科背景下学生应用能力提升路径研究——以《工程招投标与合同管理》课程为例</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管理工程学院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吴爽</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15</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高校体育专业社会服务能力提升研究</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体育学院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鲁俊华</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16</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英语专业课程思政教学改革研究—以《综合英语》课程为例</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外国语学院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戴璐</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17</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新文科背景下“校企合作”校外实践教学基地研究与建设——以网络与新媒体、广播电视学专业为例</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文化传媒学院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杨晓杰</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18</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“五位一体”过程性评价在《基础会计》课程中的应用与实践</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工商管理学院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冉祥梅</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19</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经济学“课程思政”教学设计与实践研究</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管理工程学院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曹爽</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20</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应用型本科院校大学外语课程资源建设</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外国语学院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蔡放</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21</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社会体育指导与管理专业理论课程思政元素融入途径研究</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体育学院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唐坤</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22</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基于项目管理理念下的新文科融媒体人才培养</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文化传媒学院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吕品</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23</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课赛融合法在工程造价综合实训课程中的实践研究</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管理工程学院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王君梅</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24</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高校英语人才创新能力培养研究与实践</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外国语学院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孙琳琳</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25</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大学生“三维”证券投资应用能力培养研究</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工商管理学院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吴育才</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26</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应用合作写作法提高学生英语写作能力的研究</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外国语学院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许冬梅</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27</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《财务分析》课程线上线下混合教学模式研究与实践</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工商管理学院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刘阳</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95"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28</w:t>
            </w:r>
          </w:p>
        </w:tc>
        <w:tc>
          <w:tcPr>
            <w:tcW w:w="5836"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基于应用型本科院校学生职业核心能力培养的思想政治理论课教学模式研究</w:t>
            </w:r>
          </w:p>
        </w:tc>
        <w:tc>
          <w:tcPr>
            <w:tcW w:w="1656" w:type="dxa"/>
            <w:vAlign w:val="center"/>
          </w:tcPr>
          <w:p>
            <w:pPr>
              <w:keepNext w:val="0"/>
              <w:keepLines w:val="0"/>
              <w:widowControl/>
              <w:suppressLineNumbers w:val="0"/>
              <w:jc w:val="center"/>
              <w:textAlignment w:val="center"/>
              <w:rPr>
                <w:rFonts w:hint="eastAsia" w:ascii="仿宋_GB2312" w:hAnsi="黑体" w:eastAsia="仿宋_GB2312"/>
                <w:sz w:val="24"/>
                <w:szCs w:val="24"/>
                <w:lang w:eastAsia="zh-CN"/>
              </w:rPr>
            </w:pPr>
            <w:r>
              <w:rPr>
                <w:rFonts w:hint="eastAsia" w:ascii="仿宋_GB2312" w:hAnsi="黑体" w:eastAsia="仿宋_GB2312"/>
                <w:sz w:val="24"/>
                <w:szCs w:val="24"/>
                <w:lang w:eastAsia="zh-CN"/>
              </w:rPr>
              <w:t>马克思主义学院</w:t>
            </w:r>
          </w:p>
        </w:tc>
        <w:tc>
          <w:tcPr>
            <w:tcW w:w="1178" w:type="dxa"/>
            <w:vAlign w:val="center"/>
          </w:tcPr>
          <w:p>
            <w:pPr>
              <w:keepNext w:val="0"/>
              <w:keepLines w:val="0"/>
              <w:widowControl/>
              <w:suppressLineNumbers w:val="0"/>
              <w:jc w:val="center"/>
              <w:textAlignment w:val="center"/>
              <w:rPr>
                <w:rFonts w:hint="eastAsia" w:ascii="仿宋_GB2312" w:hAnsi="黑体" w:eastAsia="仿宋_GB2312"/>
                <w:sz w:val="24"/>
                <w:szCs w:val="24"/>
                <w:lang w:val="en-US" w:eastAsia="zh-CN"/>
              </w:rPr>
            </w:pPr>
            <w:r>
              <w:rPr>
                <w:rFonts w:hint="default" w:ascii="仿宋_GB2312" w:hAnsi="黑体" w:eastAsia="仿宋_GB2312"/>
                <w:sz w:val="24"/>
                <w:szCs w:val="24"/>
                <w:lang w:val="en-US" w:eastAsia="zh-CN"/>
              </w:rPr>
              <w:t>任谊</w:t>
            </w:r>
          </w:p>
        </w:tc>
        <w:tc>
          <w:tcPr>
            <w:tcW w:w="945" w:type="dxa"/>
            <w:vAlign w:val="center"/>
          </w:tcPr>
          <w:p>
            <w:pPr>
              <w:keepNext w:val="0"/>
              <w:keepLines w:val="0"/>
              <w:widowControl/>
              <w:suppressLineNumbers w:val="0"/>
              <w:jc w:val="center"/>
              <w:textAlignment w:val="center"/>
              <w:rPr>
                <w:rFonts w:hint="eastAsia" w:ascii="仿宋_GB2312" w:hAnsi="黑体" w:eastAsia="仿宋_GB2312" w:cstheme="minorBidi"/>
                <w:kern w:val="2"/>
                <w:sz w:val="24"/>
                <w:szCs w:val="24"/>
                <w:lang w:val="en-US" w:eastAsia="zh-CN" w:bidi="ar-SA"/>
              </w:rPr>
            </w:pPr>
            <w:r>
              <w:rPr>
                <w:rFonts w:hint="eastAsia" w:ascii="仿宋_GB2312" w:hAnsi="黑体" w:eastAsia="仿宋_GB2312"/>
                <w:sz w:val="24"/>
                <w:szCs w:val="24"/>
                <w:lang w:eastAsia="zh-CN"/>
              </w:rPr>
              <w:t>不通过</w:t>
            </w:r>
          </w:p>
        </w:tc>
      </w:tr>
    </w:tbl>
    <w:p>
      <w:pPr>
        <w:adjustRightInd w:val="0"/>
        <w:ind w:firstLine="645"/>
        <w:outlineLvl w:val="0"/>
        <w:rPr>
          <w:rFonts w:ascii="仿宋_GB2312" w:hAnsi="黑体" w:eastAsia="仿宋_GB2312"/>
          <w:sz w:val="24"/>
          <w:szCs w:val="24"/>
        </w:rPr>
      </w:pPr>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NjhmYmU2MTk1NDUyZTY3OGQyZGVjNTE1ZTJiMmYifQ=="/>
  </w:docVars>
  <w:rsids>
    <w:rsidRoot w:val="00000000"/>
    <w:rsid w:val="61DD3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2013-01-03T18:20:24Z</dcterms:created>
  <dc:creator>admin</dc:creator>
  <cp:lastModifiedBy>admin</cp:lastModifiedBy>
  <dcterms:modified xsi:type="dcterms:W3CDTF">2013-01-03T18:21:04Z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20C1C7CBCD5946C3A29835D8B288A49D_12</vt:lpwstr>
  </property>
</Properties>
</file>