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386"/>
        <w:rPr>
          <w:rFonts w:hint="eastAsia" w:ascii="Times New Roman" w:eastAsia="黑体"/>
          <w:lang w:eastAsia="zh-CN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Times New Roman"/>
          <w:lang w:val="en-US" w:eastAsia="zh-CN"/>
        </w:rPr>
        <w:t>3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9"/>
        <w:rPr>
          <w:rFonts w:ascii="Times New Roman"/>
          <w:sz w:val="24"/>
        </w:rPr>
      </w:pPr>
    </w:p>
    <w:p>
      <w:pPr>
        <w:pStyle w:val="2"/>
        <w:spacing w:line="719" w:lineRule="exact"/>
      </w:pPr>
      <w:bookmarkStart w:id="0" w:name="_GoBack"/>
      <w:r>
        <w:t>辽宁省学士学位授权专业审核标准</w:t>
      </w:r>
    </w:p>
    <w:bookmarkEnd w:id="0"/>
    <w:p>
      <w:pPr>
        <w:pStyle w:val="3"/>
        <w:spacing w:before="1"/>
        <w:rPr>
          <w:rFonts w:ascii="Arial Unicode MS"/>
          <w:sz w:val="29"/>
        </w:rPr>
      </w:pPr>
    </w:p>
    <w:tbl>
      <w:tblPr>
        <w:tblStyle w:val="4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7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32" w:type="dxa"/>
            <w:noWrap w:val="0"/>
            <w:vAlign w:val="top"/>
          </w:tcPr>
          <w:p>
            <w:pPr>
              <w:pStyle w:val="6"/>
              <w:spacing w:before="191"/>
              <w:ind w:left="234" w:right="221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指标</w:t>
            </w:r>
          </w:p>
        </w:tc>
        <w:tc>
          <w:tcPr>
            <w:tcW w:w="7379" w:type="dxa"/>
            <w:noWrap w:val="0"/>
            <w:vAlign w:val="top"/>
          </w:tcPr>
          <w:p>
            <w:pPr>
              <w:pStyle w:val="6"/>
              <w:spacing w:before="191"/>
              <w:ind w:left="3248" w:right="3241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观测点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632" w:type="dxa"/>
            <w:noWrap w:val="0"/>
            <w:vAlign w:val="top"/>
          </w:tcPr>
          <w:p>
            <w:pPr>
              <w:pStyle w:val="6"/>
              <w:spacing w:before="15"/>
              <w:rPr>
                <w:rFonts w:ascii="Arial Unicode MS"/>
                <w:sz w:val="26"/>
              </w:rPr>
            </w:pPr>
          </w:p>
          <w:p>
            <w:pPr>
              <w:pStyle w:val="6"/>
              <w:ind w:left="236" w:right="216"/>
              <w:jc w:val="center"/>
              <w:rPr>
                <w:sz w:val="28"/>
              </w:rPr>
            </w:pPr>
            <w:r>
              <w:rPr>
                <w:sz w:val="28"/>
              </w:rPr>
              <w:t>专业定位</w:t>
            </w:r>
          </w:p>
        </w:tc>
        <w:tc>
          <w:tcPr>
            <w:tcW w:w="7379" w:type="dxa"/>
            <w:noWrap w:val="0"/>
            <w:vAlign w:val="top"/>
          </w:tcPr>
          <w:p>
            <w:pPr>
              <w:pStyle w:val="6"/>
              <w:spacing w:before="77" w:line="500" w:lineRule="atLeast"/>
              <w:ind w:left="107" w:right="95"/>
              <w:rPr>
                <w:sz w:val="28"/>
              </w:rPr>
            </w:pPr>
            <w:r>
              <w:rPr>
                <w:spacing w:val="-11"/>
                <w:sz w:val="28"/>
              </w:rPr>
              <w:t>人才培养类型和目标明确，符合自身办学条件、学校特色和</w:t>
            </w:r>
            <w:r>
              <w:rPr>
                <w:spacing w:val="-4"/>
                <w:sz w:val="28"/>
              </w:rPr>
              <w:t>社会需求。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2" w:hRule="atLeast"/>
        </w:trPr>
        <w:tc>
          <w:tcPr>
            <w:tcW w:w="1632" w:type="dxa"/>
            <w:noWrap w:val="0"/>
            <w:vAlign w:val="top"/>
          </w:tcPr>
          <w:p>
            <w:pPr>
              <w:pStyle w:val="6"/>
              <w:rPr>
                <w:rFonts w:ascii="Arial Unicode MS"/>
                <w:sz w:val="28"/>
              </w:rPr>
            </w:pPr>
          </w:p>
          <w:p>
            <w:pPr>
              <w:pStyle w:val="6"/>
              <w:rPr>
                <w:rFonts w:ascii="Arial Unicode MS"/>
                <w:sz w:val="28"/>
              </w:rPr>
            </w:pPr>
          </w:p>
          <w:p>
            <w:pPr>
              <w:pStyle w:val="6"/>
              <w:rPr>
                <w:rFonts w:ascii="Arial Unicode MS"/>
                <w:sz w:val="28"/>
              </w:rPr>
            </w:pPr>
          </w:p>
          <w:p>
            <w:pPr>
              <w:pStyle w:val="6"/>
              <w:rPr>
                <w:rFonts w:ascii="Arial Unicode MS"/>
                <w:sz w:val="28"/>
              </w:rPr>
            </w:pPr>
          </w:p>
          <w:p>
            <w:pPr>
              <w:pStyle w:val="6"/>
              <w:spacing w:before="6"/>
              <w:rPr>
                <w:rFonts w:ascii="Arial Unicode MS"/>
                <w:sz w:val="21"/>
              </w:rPr>
            </w:pPr>
          </w:p>
          <w:p>
            <w:pPr>
              <w:pStyle w:val="6"/>
              <w:spacing w:before="1"/>
              <w:ind w:left="231" w:right="221"/>
              <w:jc w:val="center"/>
              <w:rPr>
                <w:sz w:val="28"/>
              </w:rPr>
            </w:pPr>
            <w:r>
              <w:rPr>
                <w:sz w:val="28"/>
              </w:rPr>
              <w:t>师资队伍</w:t>
            </w:r>
          </w:p>
        </w:tc>
        <w:tc>
          <w:tcPr>
            <w:tcW w:w="7379" w:type="dxa"/>
            <w:noWrap w:val="0"/>
            <w:vAlign w:val="top"/>
          </w:tcPr>
          <w:p>
            <w:pPr>
              <w:pStyle w:val="6"/>
              <w:spacing w:before="9"/>
              <w:rPr>
                <w:rFonts w:ascii="Arial Unicode MS"/>
                <w:sz w:val="18"/>
              </w:rPr>
            </w:pPr>
          </w:p>
          <w:p>
            <w:pPr>
              <w:pStyle w:val="6"/>
              <w:spacing w:line="333" w:lineRule="auto"/>
              <w:ind w:left="107" w:right="-29"/>
              <w:rPr>
                <w:sz w:val="28"/>
              </w:rPr>
            </w:pPr>
            <w:r>
              <w:rPr>
                <w:spacing w:val="-11"/>
                <w:sz w:val="28"/>
              </w:rPr>
              <w:t>师德师风监督管理机制健全，师德师风高尚。专任教师数量</w:t>
            </w:r>
            <w:r>
              <w:rPr>
                <w:spacing w:val="-5"/>
                <w:sz w:val="28"/>
              </w:rPr>
              <w:t xml:space="preserve">充足、素质优良，教育教学理念先进，教学能力整体较高， </w:t>
            </w:r>
            <w:r>
              <w:rPr>
                <w:spacing w:val="-13"/>
                <w:sz w:val="28"/>
              </w:rPr>
              <w:t>落实课程思政要求，重视教学改革，教学效果较好，学生满</w:t>
            </w:r>
            <w:r>
              <w:rPr>
                <w:spacing w:val="-14"/>
                <w:sz w:val="28"/>
              </w:rPr>
              <w:t>意度较高。师生比达到国家办学条件要求。师资队伍的专业背景、学历、学缘、年龄、职称等结构合理。专业带头人有</w:t>
            </w:r>
            <w:r>
              <w:rPr>
                <w:spacing w:val="-13"/>
                <w:sz w:val="28"/>
              </w:rPr>
              <w:t>较高的学术造诣，科研成果较多，学术水平较高，具有副高及以上技术职务。实践实验教师队伍结构合理，满足教学要求。教师教学能力培训机制完善，能够为教师访学、学术交</w:t>
            </w:r>
            <w:r>
              <w:rPr>
                <w:spacing w:val="-5"/>
                <w:sz w:val="28"/>
              </w:rPr>
              <w:t>流等提供必要支持。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1632" w:type="dxa"/>
            <w:noWrap w:val="0"/>
            <w:vAlign w:val="top"/>
          </w:tcPr>
          <w:p>
            <w:pPr>
              <w:pStyle w:val="6"/>
              <w:rPr>
                <w:rFonts w:ascii="Arial Unicode MS"/>
                <w:sz w:val="28"/>
              </w:rPr>
            </w:pPr>
          </w:p>
          <w:p>
            <w:pPr>
              <w:pStyle w:val="6"/>
              <w:rPr>
                <w:rFonts w:ascii="Arial Unicode MS"/>
                <w:sz w:val="18"/>
              </w:rPr>
            </w:pPr>
          </w:p>
          <w:p>
            <w:pPr>
              <w:pStyle w:val="6"/>
              <w:spacing w:line="336" w:lineRule="auto"/>
              <w:ind w:left="255" w:right="101" w:hanging="140"/>
              <w:rPr>
                <w:sz w:val="28"/>
              </w:rPr>
            </w:pPr>
            <w:r>
              <w:rPr>
                <w:sz w:val="28"/>
              </w:rPr>
              <w:t>培养方案与课程设置</w:t>
            </w:r>
          </w:p>
        </w:tc>
        <w:tc>
          <w:tcPr>
            <w:tcW w:w="7379" w:type="dxa"/>
            <w:noWrap w:val="0"/>
            <w:vAlign w:val="top"/>
          </w:tcPr>
          <w:p>
            <w:pPr>
              <w:pStyle w:val="6"/>
              <w:spacing w:before="6"/>
              <w:rPr>
                <w:rFonts w:ascii="Arial Unicode MS"/>
                <w:sz w:val="17"/>
              </w:rPr>
            </w:pPr>
          </w:p>
          <w:p>
            <w:pPr>
              <w:pStyle w:val="6"/>
              <w:spacing w:line="333" w:lineRule="auto"/>
              <w:ind w:left="107" w:right="-44"/>
              <w:rPr>
                <w:sz w:val="28"/>
              </w:rPr>
            </w:pPr>
            <w:r>
              <w:rPr>
                <w:spacing w:val="-12"/>
                <w:sz w:val="28"/>
              </w:rPr>
              <w:t>具有科学、规范的专业人才培养方案。培养目标明确，符合</w:t>
            </w:r>
            <w:r>
              <w:rPr>
                <w:spacing w:val="-5"/>
                <w:sz w:val="28"/>
              </w:rPr>
              <w:t>学校人才培养定位，满足区域</w:t>
            </w:r>
            <w:r>
              <w:rPr>
                <w:spacing w:val="-3"/>
                <w:sz w:val="28"/>
              </w:rPr>
              <w:t>（</w:t>
            </w:r>
            <w:r>
              <w:rPr>
                <w:sz w:val="28"/>
              </w:rPr>
              <w:t>行业</w:t>
            </w:r>
            <w:r>
              <w:rPr>
                <w:spacing w:val="-3"/>
                <w:sz w:val="28"/>
              </w:rPr>
              <w:t>）</w:t>
            </w:r>
            <w:r>
              <w:rPr>
                <w:spacing w:val="-2"/>
                <w:sz w:val="28"/>
              </w:rPr>
              <w:t>经济社会发展要求。</w:t>
            </w:r>
            <w:r>
              <w:rPr>
                <w:spacing w:val="-18"/>
                <w:sz w:val="28"/>
              </w:rPr>
              <w:t>知识、能力和素质等结构清晰，符合人才培养类型基本要求。</w:t>
            </w:r>
            <w:r>
              <w:rPr>
                <w:spacing w:val="-5"/>
                <w:sz w:val="28"/>
              </w:rPr>
              <w:t>培养方案和课程设置符合国家相关质量标准。</w:t>
            </w:r>
          </w:p>
        </w:tc>
      </w:tr>
    </w:tbl>
    <w:p>
      <w:pPr>
        <w:spacing w:after="0" w:line="333" w:lineRule="auto"/>
        <w:rPr>
          <w:sz w:val="28"/>
        </w:rPr>
        <w:sectPr>
          <w:pgSz w:w="11910" w:h="16840"/>
          <w:pgMar w:top="1580" w:right="1100" w:bottom="280" w:left="1200" w:header="720" w:footer="720" w:gutter="0"/>
          <w:cols w:space="720" w:num="1"/>
        </w:sectPr>
      </w:pPr>
    </w:p>
    <w:p>
      <w:pPr>
        <w:pStyle w:val="3"/>
        <w:spacing w:before="12"/>
        <w:rPr>
          <w:rFonts w:ascii="Arial Unicode MS"/>
          <w:sz w:val="28"/>
        </w:rPr>
      </w:pPr>
    </w:p>
    <w:tbl>
      <w:tblPr>
        <w:tblStyle w:val="4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7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32" w:type="dxa"/>
            <w:noWrap w:val="0"/>
            <w:vAlign w:val="top"/>
          </w:tcPr>
          <w:p>
            <w:pPr>
              <w:pStyle w:val="6"/>
              <w:spacing w:before="191"/>
              <w:ind w:left="234" w:right="221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指标</w:t>
            </w:r>
          </w:p>
        </w:tc>
        <w:tc>
          <w:tcPr>
            <w:tcW w:w="7379" w:type="dxa"/>
            <w:noWrap w:val="0"/>
            <w:vAlign w:val="top"/>
          </w:tcPr>
          <w:p>
            <w:pPr>
              <w:pStyle w:val="6"/>
              <w:spacing w:before="191"/>
              <w:ind w:left="3248" w:right="3241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观测点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0" w:hRule="atLeast"/>
        </w:trPr>
        <w:tc>
          <w:tcPr>
            <w:tcW w:w="1632" w:type="dxa"/>
            <w:noWrap w:val="0"/>
            <w:vAlign w:val="top"/>
          </w:tcPr>
          <w:p>
            <w:pPr>
              <w:pStyle w:val="6"/>
              <w:rPr>
                <w:rFonts w:ascii="Arial Unicode MS"/>
                <w:sz w:val="28"/>
              </w:rPr>
            </w:pPr>
          </w:p>
          <w:p>
            <w:pPr>
              <w:pStyle w:val="6"/>
              <w:rPr>
                <w:rFonts w:ascii="Arial Unicode MS"/>
                <w:sz w:val="28"/>
              </w:rPr>
            </w:pPr>
          </w:p>
          <w:p>
            <w:pPr>
              <w:pStyle w:val="6"/>
              <w:rPr>
                <w:rFonts w:ascii="Arial Unicode MS"/>
                <w:sz w:val="28"/>
              </w:rPr>
            </w:pPr>
          </w:p>
          <w:p>
            <w:pPr>
              <w:pStyle w:val="6"/>
              <w:spacing w:before="3"/>
              <w:rPr>
                <w:rFonts w:ascii="Arial Unicode MS"/>
                <w:sz w:val="15"/>
              </w:rPr>
            </w:pPr>
          </w:p>
          <w:p>
            <w:pPr>
              <w:pStyle w:val="6"/>
              <w:spacing w:before="1"/>
              <w:ind w:left="231" w:right="221"/>
              <w:jc w:val="center"/>
              <w:rPr>
                <w:sz w:val="28"/>
              </w:rPr>
            </w:pPr>
            <w:r>
              <w:rPr>
                <w:sz w:val="28"/>
              </w:rPr>
              <w:t>教学条件</w:t>
            </w:r>
          </w:p>
        </w:tc>
        <w:tc>
          <w:tcPr>
            <w:tcW w:w="7379" w:type="dxa"/>
            <w:noWrap w:val="0"/>
            <w:vAlign w:val="top"/>
          </w:tcPr>
          <w:p>
            <w:pPr>
              <w:pStyle w:val="6"/>
              <w:spacing w:before="227" w:line="333" w:lineRule="auto"/>
              <w:ind w:left="107" w:right="-29"/>
              <w:rPr>
                <w:sz w:val="28"/>
              </w:rPr>
            </w:pPr>
            <w:r>
              <w:rPr>
                <w:spacing w:val="-11"/>
                <w:sz w:val="28"/>
              </w:rPr>
              <w:t>专业办学经费有保障，来源稳定可靠、保障机制健全。教学</w:t>
            </w:r>
            <w:r>
              <w:rPr>
                <w:spacing w:val="-12"/>
                <w:sz w:val="28"/>
              </w:rPr>
              <w:t>经费投入较好地满足人才培养需要。各类功能教室、校舍齐</w:t>
            </w:r>
            <w:r>
              <w:rPr>
                <w:spacing w:val="-5"/>
                <w:sz w:val="28"/>
              </w:rPr>
              <w:t>备，专业教学实验室等设施配备完善，满足教学基本要求。</w:t>
            </w:r>
            <w:r>
              <w:rPr>
                <w:spacing w:val="-13"/>
                <w:sz w:val="28"/>
              </w:rPr>
              <w:t>实习实践基地完善、稳定。能与企事业单位紧密合作开展实习实训。信息技术基础设施满足教育教学需要，教育教学技</w:t>
            </w:r>
            <w:r>
              <w:rPr>
                <w:spacing w:val="-14"/>
                <w:sz w:val="28"/>
              </w:rPr>
              <w:t>术有效应用于教学过程。现代电子图书系统和计算机网络服</w:t>
            </w:r>
          </w:p>
          <w:p>
            <w:pPr>
              <w:pStyle w:val="6"/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务系统满足人才培养需要，管理手段先进。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632" w:type="dxa"/>
            <w:noWrap w:val="0"/>
            <w:vAlign w:val="top"/>
          </w:tcPr>
          <w:p>
            <w:pPr>
              <w:pStyle w:val="6"/>
              <w:rPr>
                <w:rFonts w:ascii="Arial Unicode MS"/>
                <w:sz w:val="28"/>
              </w:rPr>
            </w:pPr>
          </w:p>
          <w:p>
            <w:pPr>
              <w:pStyle w:val="6"/>
              <w:spacing w:before="16"/>
              <w:rPr>
                <w:rFonts w:ascii="Arial Unicode MS"/>
                <w:sz w:val="27"/>
              </w:rPr>
            </w:pPr>
          </w:p>
          <w:p>
            <w:pPr>
              <w:pStyle w:val="6"/>
              <w:ind w:left="231" w:right="221"/>
              <w:jc w:val="center"/>
              <w:rPr>
                <w:sz w:val="28"/>
              </w:rPr>
            </w:pPr>
            <w:r>
              <w:rPr>
                <w:sz w:val="28"/>
              </w:rPr>
              <w:t>质量保障</w:t>
            </w:r>
          </w:p>
        </w:tc>
        <w:tc>
          <w:tcPr>
            <w:tcW w:w="7379" w:type="dxa"/>
            <w:noWrap w:val="0"/>
            <w:vAlign w:val="top"/>
          </w:tcPr>
          <w:p>
            <w:pPr>
              <w:pStyle w:val="6"/>
              <w:spacing w:before="225" w:line="333" w:lineRule="auto"/>
              <w:ind w:left="107" w:right="-29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教学运行规范有序，教学大纲</w:t>
            </w:r>
            <w:r>
              <w:rPr>
                <w:spacing w:val="-3"/>
                <w:sz w:val="28"/>
              </w:rPr>
              <w:t>（</w:t>
            </w:r>
            <w:r>
              <w:rPr>
                <w:spacing w:val="-2"/>
                <w:sz w:val="28"/>
              </w:rPr>
              <w:t>含考核大纲</w:t>
            </w:r>
            <w:r>
              <w:rPr>
                <w:spacing w:val="-25"/>
                <w:sz w:val="28"/>
              </w:rPr>
              <w:t>）</w:t>
            </w:r>
            <w:r>
              <w:rPr>
                <w:spacing w:val="-10"/>
                <w:sz w:val="28"/>
              </w:rPr>
              <w:t>、教案、教材</w:t>
            </w:r>
            <w:r>
              <w:rPr>
                <w:spacing w:val="-13"/>
                <w:sz w:val="28"/>
              </w:rPr>
              <w:t>及教辅资料、考试考核等管理规范。制定涵盖国家质量标准</w:t>
            </w:r>
            <w:r>
              <w:rPr>
                <w:spacing w:val="-3"/>
                <w:sz w:val="28"/>
              </w:rPr>
              <w:t>的自我评估制度，教学质量监控体系基本形成，运行有效。</w:t>
            </w:r>
          </w:p>
          <w:p>
            <w:pPr>
              <w:pStyle w:val="6"/>
              <w:spacing w:before="4"/>
              <w:ind w:left="107" w:right="-44"/>
              <w:rPr>
                <w:sz w:val="28"/>
              </w:rPr>
            </w:pPr>
            <w:r>
              <w:rPr>
                <w:spacing w:val="-19"/>
                <w:sz w:val="28"/>
              </w:rPr>
              <w:t>教学管理队伍结构较为合理，队伍基本稳定，服务意识较强。</w:t>
            </w:r>
          </w:p>
        </w:tc>
      </w:tr>
    </w:tbl>
    <w:p>
      <w:pPr>
        <w:pStyle w:val="3"/>
        <w:spacing w:before="6"/>
        <w:rPr>
          <w:rFonts w:ascii="Arial Unicode MS"/>
          <w:sz w:val="4"/>
        </w:rPr>
      </w:pPr>
    </w:p>
    <w:p>
      <w:pPr>
        <w:spacing w:before="62" w:line="348" w:lineRule="auto"/>
        <w:ind w:left="386" w:right="485" w:firstLine="0"/>
        <w:jc w:val="left"/>
        <w:rPr>
          <w:sz w:val="28"/>
        </w:rPr>
      </w:pPr>
      <w:r>
        <w:rPr>
          <w:sz w:val="28"/>
        </w:rPr>
        <w:t>备注：相关条件应符合教育部《普通高等学校本科专业类教学质量国家标准》《本科层次职业教育专业设置管理办法（试行）》。</w:t>
      </w:r>
    </w:p>
    <w:p>
      <w:pPr>
        <w:spacing w:after="0" w:line="348" w:lineRule="auto"/>
        <w:jc w:val="left"/>
        <w:rPr>
          <w:sz w:val="28"/>
        </w:rPr>
        <w:sectPr>
          <w:pgSz w:w="11910" w:h="16840"/>
          <w:pgMar w:top="1580" w:right="1100" w:bottom="280" w:left="12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0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13" w:right="1313"/>
      <w:jc w:val="center"/>
      <w:outlineLvl w:val="0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2022-01-27T06:39:22Z</dcterms:created>
  <dc:creator>Administrator</dc:creator>
  <cp:lastModifiedBy>豆豆的宝贝</cp:lastModifiedBy>
  <dcterms:modified xsi:type="dcterms:W3CDTF">2022-01-27T06:39:33Z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E3A7CF576A20447C84F6FC0AE71D52BF</vt:lpwstr>
  </property>
</Properties>
</file>