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/>
          <w:szCs w:val="24"/>
        </w:rPr>
      </w:pPr>
      <w:r>
        <w:rPr>
          <w:rFonts w:hint="eastAsia" w:ascii="黑体" w:hAnsi="黑体" w:eastAsia="黑体"/>
          <w:color w:val="000000"/>
          <w:szCs w:val="24"/>
          <w:lang w:val="en-US" w:eastAsia="zh-CN"/>
        </w:rPr>
        <w:t>辽宁理工</w:t>
      </w:r>
      <w:r>
        <w:rPr>
          <w:rFonts w:hint="eastAsia" w:ascii="黑体" w:hAnsi="黑体" w:eastAsia="黑体"/>
          <w:color w:val="000000"/>
          <w:szCs w:val="24"/>
        </w:rPr>
        <w:t>学院</w:t>
      </w:r>
      <w:r>
        <w:rPr>
          <w:rFonts w:ascii="黑体" w:hAnsi="黑体" w:eastAsia="黑体"/>
          <w:color w:val="000000"/>
          <w:szCs w:val="24"/>
        </w:rPr>
        <w:t>2022</w:t>
      </w:r>
      <w:r>
        <w:rPr>
          <w:rFonts w:hint="eastAsia" w:ascii="黑体" w:hAnsi="黑体" w:eastAsia="黑体"/>
          <w:color w:val="000000"/>
          <w:szCs w:val="24"/>
        </w:rPr>
        <w:t>年拟新增学士学位授权专业</w:t>
      </w:r>
    </w:p>
    <w:p>
      <w:pPr>
        <w:jc w:val="center"/>
        <w:rPr>
          <w:rFonts w:ascii="黑体" w:hAnsi="黑体" w:eastAsia="黑体"/>
          <w:color w:val="000000"/>
          <w:szCs w:val="24"/>
        </w:rPr>
      </w:pPr>
      <w:r>
        <w:rPr>
          <w:rFonts w:hint="eastAsia" w:ascii="黑体" w:hAnsi="黑体" w:eastAsia="黑体"/>
          <w:color w:val="000000"/>
          <w:szCs w:val="24"/>
        </w:rPr>
        <w:t>专家评审意见表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9"/>
        <w:gridCol w:w="4051"/>
        <w:gridCol w:w="1536"/>
        <w:gridCol w:w="16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评审专业名称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评审专家姓名</w:t>
            </w:r>
          </w:p>
        </w:tc>
        <w:tc>
          <w:tcPr>
            <w:tcW w:w="4051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6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ind w:firstLine="464" w:firstLineChars="19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 作 单 位</w:t>
            </w:r>
          </w:p>
        </w:tc>
        <w:tc>
          <w:tcPr>
            <w:tcW w:w="4051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776" w:type="dxa"/>
            <w:gridSpan w:val="6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辽宁省学士学位授权专业审核标准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 xml:space="preserve">指 </w:t>
            </w:r>
            <w:r>
              <w:rPr>
                <w:rFonts w:ascii="宋体" w:hAnsi="宋体"/>
                <w:b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4"/>
              </w:rPr>
              <w:t>标</w:t>
            </w:r>
          </w:p>
        </w:tc>
        <w:tc>
          <w:tcPr>
            <w:tcW w:w="75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 xml:space="preserve">观 </w:t>
            </w:r>
            <w:r>
              <w:rPr>
                <w:rFonts w:ascii="宋体" w:hAnsi="宋体"/>
                <w:b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4"/>
              </w:rPr>
              <w:t xml:space="preserve">测 </w:t>
            </w:r>
            <w:r>
              <w:rPr>
                <w:rFonts w:ascii="宋体" w:hAnsi="宋体"/>
                <w:b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4"/>
              </w:rPr>
              <w:t xml:space="preserve"> 点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pacing w:val="0"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  <w:t>专业定位（20分）</w:t>
            </w:r>
          </w:p>
        </w:tc>
        <w:tc>
          <w:tcPr>
            <w:tcW w:w="750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4"/>
              </w:rPr>
              <w:t>人才培养类型和目标明确，符合自身办学条件、学校特色和社会需求。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  <w:t>师资队伍</w:t>
            </w:r>
          </w:p>
          <w:p>
            <w:pPr>
              <w:jc w:val="center"/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  <w:t>（20分）</w:t>
            </w:r>
          </w:p>
        </w:tc>
        <w:tc>
          <w:tcPr>
            <w:tcW w:w="7509" w:type="dxa"/>
            <w:gridSpan w:val="4"/>
            <w:vAlign w:val="center"/>
          </w:tcPr>
          <w:p>
            <w:pPr>
              <w:rPr>
                <w:rStyle w:val="6"/>
                <w:rFonts w:hint="default" w:ascii="仿宋" w:hAnsi="仿宋" w:eastAsia="仿宋"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4"/>
              </w:rPr>
              <w:t>师德师风监督管理机制健全，师德师风高尚。专任教师数量充足、素质优良，教育教学理念先进，教学能力整体较高，落实课程思政要求，重视教学改革，教学效果较好，学生满意度较高。师生比达到国家办学条件要求。师资队伍的专业背景、学历、学缘、年龄、职称等结构合理。专业带头人有较高的学术造诣，科研成果较多，学术水平较高，具有副高及以上技术职务。实践实验教师队伍结构合理，满足教学要求。教师教学能力培训机制完善，能够为教师访学、学术交流等提供必要支持。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  <w:t>培养方案与课程设置</w:t>
            </w:r>
          </w:p>
          <w:p>
            <w:pPr>
              <w:jc w:val="center"/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b/>
                <w:sz w:val="22"/>
                <w:szCs w:val="24"/>
              </w:rPr>
              <w:t>（20分）</w:t>
            </w:r>
          </w:p>
        </w:tc>
        <w:tc>
          <w:tcPr>
            <w:tcW w:w="7509" w:type="dxa"/>
            <w:gridSpan w:val="4"/>
            <w:vAlign w:val="center"/>
          </w:tcPr>
          <w:p>
            <w:pPr>
              <w:rPr>
                <w:rStyle w:val="6"/>
                <w:rFonts w:hint="default" w:ascii="仿宋" w:hAnsi="仿宋" w:eastAsia="仿宋"/>
                <w:sz w:val="22"/>
                <w:szCs w:val="24"/>
              </w:rPr>
            </w:pPr>
            <w:r>
              <w:rPr>
                <w:rStyle w:val="6"/>
                <w:rFonts w:hint="default" w:ascii="仿宋" w:hAnsi="仿宋" w:eastAsia="仿宋"/>
                <w:sz w:val="22"/>
                <w:szCs w:val="24"/>
              </w:rPr>
              <w:t>具有科学、规范的专业人才培养方案。培养目标明确，符合学校人才培养定位，满足区域（行业）经济社会发展要求。知识、能力和素质等结构清晰，符合人才培养类型基本要求。培养方案和课程设置符合国家相关质量标准。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sz w:val="22"/>
                <w:szCs w:val="24"/>
              </w:rPr>
              <w:t>教学条件</w:t>
            </w:r>
          </w:p>
          <w:p>
            <w:pPr>
              <w:jc w:val="center"/>
              <w:rPr>
                <w:rFonts w:ascii="仿宋" w:hAnsi="仿宋" w:eastAsia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sz w:val="22"/>
                <w:szCs w:val="24"/>
              </w:rPr>
              <w:t>（2</w:t>
            </w:r>
            <w:r>
              <w:rPr>
                <w:rFonts w:ascii="仿宋" w:hAnsi="仿宋" w:eastAsia="仿宋"/>
                <w:b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2"/>
                <w:szCs w:val="24"/>
              </w:rPr>
              <w:t>分）</w:t>
            </w:r>
          </w:p>
        </w:tc>
        <w:tc>
          <w:tcPr>
            <w:tcW w:w="750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办学经费有保障，来源稳定可靠、保障机制健全。教学经费投入较好地满足人才培养需要。各类功能教室、校舍齐备，专业教学实验室等设施配备完善，满足教学基本要求。实习实践基地完善、稳定。能与企事业单位紧密合作开展实习实训。信息技术基础设施满足教育教学需要，教育教学技术有效应用于教学过程。现代电子图书系统和计算机网络服务系统满足人才培养需要，管理手段先进。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2"/>
                <w:szCs w:val="24"/>
              </w:rPr>
            </w:pPr>
            <w:r>
              <w:rPr>
                <w:rFonts w:ascii="仿宋" w:hAnsi="仿宋" w:eastAsia="仿宋"/>
                <w:b/>
                <w:sz w:val="22"/>
                <w:szCs w:val="24"/>
              </w:rPr>
              <w:t>质量保障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sz w:val="22"/>
                <w:szCs w:val="24"/>
              </w:rPr>
              <w:t>（2</w:t>
            </w:r>
            <w:r>
              <w:rPr>
                <w:rFonts w:ascii="仿宋" w:hAnsi="仿宋" w:eastAsia="仿宋"/>
                <w:b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2"/>
                <w:szCs w:val="24"/>
              </w:rPr>
              <w:t>分）</w:t>
            </w:r>
          </w:p>
        </w:tc>
        <w:tc>
          <w:tcPr>
            <w:tcW w:w="7509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教学运行规范有序，教学大纲（含考核大纲）、教案、教材及教辅资料、考试考核等管理规范。制定涵盖国家质量标准的自我评估制度，教学质量监控体系基本形成，运行有效。教学管理队伍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4"/>
              </w:rPr>
              <w:t>结构较为合理，队伍基本稳定，服务意识较强。</w:t>
            </w:r>
          </w:p>
        </w:tc>
        <w:tc>
          <w:tcPr>
            <w:tcW w:w="85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专家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评审意见</w:t>
            </w:r>
          </w:p>
        </w:tc>
        <w:tc>
          <w:tcPr>
            <w:tcW w:w="8359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专家</w:t>
            </w:r>
          </w:p>
          <w:p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评审结论</w:t>
            </w:r>
          </w:p>
        </w:tc>
        <w:tc>
          <w:tcPr>
            <w:tcW w:w="8359" w:type="dxa"/>
            <w:gridSpan w:val="5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156" w:beforeLines="50" w:line="276" w:lineRule="auto"/>
              <w:ind w:left="357" w:hanging="357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同意该专业申报学士学位授予专业</w:t>
            </w:r>
          </w:p>
          <w:p>
            <w:pPr>
              <w:pStyle w:val="7"/>
              <w:numPr>
                <w:ilvl w:val="0"/>
                <w:numId w:val="1"/>
              </w:numPr>
              <w:spacing w:before="156" w:beforeLines="50" w:line="276" w:lineRule="auto"/>
              <w:ind w:left="357" w:hanging="357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不同意该专业申报学士学位授予专业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专家签字：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F2DEE"/>
    <w:multiLevelType w:val="multilevel"/>
    <w:tmpl w:val="5D1F2DEE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  <w:lang w:val="en-U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15"/>
    <w:rsid w:val="0001743F"/>
    <w:rsid w:val="000B355B"/>
    <w:rsid w:val="00120068"/>
    <w:rsid w:val="00337E22"/>
    <w:rsid w:val="005B0FC4"/>
    <w:rsid w:val="00686115"/>
    <w:rsid w:val="009C02B8"/>
    <w:rsid w:val="009D5A1B"/>
    <w:rsid w:val="00D01D9B"/>
    <w:rsid w:val="00D0544D"/>
    <w:rsid w:val="00FC7A20"/>
    <w:rsid w:val="475F71C1"/>
    <w:rsid w:val="4E4C3205"/>
    <w:rsid w:val="58EA0140"/>
    <w:rsid w:val="5B22799D"/>
    <w:rsid w:val="690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Times New Roman"/>
      <w:spacing w:val="-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uiPriority w:val="0"/>
    <w:rPr>
      <w:rFonts w:hint="eastAsia" w:ascii="仿宋_GB2312" w:eastAsia="仿宋_GB2312"/>
      <w:color w:val="000000"/>
      <w:sz w:val="28"/>
      <w:szCs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rFonts w:ascii="仿宋_GB2312" w:hAnsi="Times New Roman" w:eastAsia="宋体" w:cs="Times New Roman"/>
      <w:spacing w:val="-2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仿宋_GB2312" w:hAnsi="Times New Roman" w:eastAsia="宋体" w:cs="Times New Roman"/>
      <w:spacing w:val="-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801</Words>
  <Characters>809</Characters>
  <Lines>6</Lines>
  <Paragraphs>1</Paragraphs>
  <TotalTime>114</TotalTime>
  <ScaleCrop>false</ScaleCrop>
  <LinksUpToDate>false</LinksUpToDate>
  <CharactersWithSpaces>905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2022-03-11T06:49:00Z</dcterms:created>
  <dc:creator>Lily</dc:creator>
  <cp:lastModifiedBy>惠普</cp:lastModifiedBy>
  <dcterms:modified xsi:type="dcterms:W3CDTF">2022-03-18T08:25:27Z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AFD236B8487446C1A7EAFBB0525AA249</vt:lpwstr>
  </property>
</Properties>
</file>