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3"/>
        <w:ind w:left="0" w:right="0" w:firstLine="0"/>
        <w:rPr>
          <w:rFonts w:ascii="Times New Roman"/>
          <w:sz w:val="25"/>
        </w:rPr>
      </w:pPr>
    </w:p>
    <w:p>
      <w:pPr>
        <w:spacing w:before="0" w:line="794" w:lineRule="exact"/>
        <w:ind w:left="985" w:right="0" w:firstLine="0"/>
        <w:jc w:val="left"/>
        <w:rPr>
          <w:rFonts w:hint="eastAsia" w:ascii="Microsoft JhengHei" w:eastAsia="Microsoft JhengHei"/>
          <w:b/>
          <w:sz w:val="44"/>
        </w:rPr>
      </w:pPr>
      <w:r>
        <w:rPr>
          <w:rFonts w:hint="eastAsia" w:ascii="Microsoft JhengHei" w:hAnsi="Microsoft JhengHei" w:eastAsia="Microsoft JhengHei" w:cs="Microsoft JhengHei"/>
          <w:b/>
          <w:sz w:val="44"/>
          <w:lang w:val="en-US" w:eastAsia="zh-CN"/>
        </w:rPr>
        <w:t>辽</w:t>
      </w:r>
      <w:r>
        <w:rPr>
          <w:rFonts w:hint="eastAsia" w:ascii="Microsoft JhengHei" w:eastAsia="Microsoft JhengHei"/>
          <w:b/>
          <w:sz w:val="44"/>
        </w:rPr>
        <w:t>宁理工学院学士学位授予工作实施办法</w:t>
      </w:r>
    </w:p>
    <w:p>
      <w:pPr>
        <w:spacing w:before="109"/>
        <w:ind w:left="3715" w:right="3715" w:firstLine="0"/>
        <w:jc w:val="center"/>
        <w:rPr>
          <w:rFonts w:hint="eastAsia" w:ascii="宋体" w:eastAsia="宋体"/>
          <w:sz w:val="44"/>
        </w:rPr>
      </w:pPr>
      <w:bookmarkStart w:id="0" w:name="（修订）"/>
      <w:bookmarkEnd w:id="0"/>
      <w:r>
        <w:rPr>
          <w:rFonts w:hint="eastAsia" w:ascii="宋体" w:eastAsia="宋体"/>
          <w:sz w:val="44"/>
        </w:rPr>
        <w:t>（修订）</w:t>
      </w:r>
    </w:p>
    <w:p>
      <w:pPr>
        <w:pStyle w:val="2"/>
        <w:spacing w:before="156" w:line="350" w:lineRule="auto"/>
        <w:ind w:right="107"/>
        <w:jc w:val="both"/>
      </w:pPr>
      <w:r>
        <w:t>一</w:t>
      </w:r>
      <w:r>
        <w:rPr>
          <w:rFonts w:hint="eastAsia" w:ascii="黑体" w:eastAsia="黑体"/>
        </w:rPr>
        <w:t>、</w:t>
      </w:r>
      <w:r>
        <w:t>根据《</w:t>
      </w:r>
      <w:bookmarkStart w:id="1" w:name="_GoBack"/>
      <w:bookmarkEnd w:id="1"/>
      <w:r>
        <w:t>中华人民共和国学位条例》、《中华人民共和国学位条例暂行实施办法》、《普通高校学生管理规定》（教育部令第 41 号），结合我校具体情况，制定本办法。</w:t>
      </w:r>
    </w:p>
    <w:p>
      <w:pPr>
        <w:pStyle w:val="2"/>
        <w:spacing w:before="4" w:line="350" w:lineRule="auto"/>
        <w:ind w:right="107"/>
      </w:pPr>
      <w:r>
        <w:t>二</w:t>
      </w:r>
      <w:r>
        <w:rPr>
          <w:rFonts w:hint="eastAsia" w:ascii="黑体" w:eastAsia="黑体"/>
        </w:rPr>
        <w:t>、</w:t>
      </w:r>
      <w:r>
        <w:t>本办法适用于我校普通高等学校在籍本科生的学士学位授予工作。</w:t>
      </w:r>
    </w:p>
    <w:p>
      <w:pPr>
        <w:pStyle w:val="2"/>
        <w:spacing w:before="3" w:line="350" w:lineRule="auto"/>
      </w:pPr>
      <w:r>
        <w:t>三、在授予学士学位工作中，必须坚持正确的政治方向，坚持学士学位的学术水平标准。</w:t>
      </w:r>
    </w:p>
    <w:p>
      <w:pPr>
        <w:pStyle w:val="2"/>
        <w:spacing w:before="3"/>
        <w:ind w:left="745" w:right="0" w:firstLine="0"/>
      </w:pPr>
      <w:r>
        <w:t>四、学士学位授予标准</w:t>
      </w:r>
    </w:p>
    <w:p>
      <w:pPr>
        <w:pStyle w:val="2"/>
        <w:spacing w:before="190" w:line="350" w:lineRule="auto"/>
      </w:pPr>
      <w:r>
        <w:t>（一）坚持四项基本原则，拥护中国共产党的领导，拥护社会主义制度，遵守法纪，品行端正。</w:t>
      </w:r>
    </w:p>
    <w:p>
      <w:pPr>
        <w:pStyle w:val="2"/>
        <w:spacing w:line="350" w:lineRule="auto"/>
        <w:jc w:val="both"/>
      </w:pPr>
      <w:r>
        <w:t>（二）较好的掌握专业的基础理论、专门知识和基本技能， 具有从事科学研究工作或担负专门技术工作的初步能力，完成教育教学计划规定的学分，成绩优良，经审核达到毕业条件。</w:t>
      </w:r>
    </w:p>
    <w:p>
      <w:pPr>
        <w:pStyle w:val="2"/>
        <w:spacing w:before="5"/>
        <w:ind w:left="745" w:right="0" w:firstLine="0"/>
      </w:pPr>
      <w:r>
        <w:t>（三）学位课程平均学分绩点≥1.8。</w:t>
      </w:r>
    </w:p>
    <w:p>
      <w:pPr>
        <w:pStyle w:val="2"/>
        <w:spacing w:before="190" w:line="350" w:lineRule="auto"/>
      </w:pPr>
      <w:r>
        <w:t>（四）因违背学术诚信受过纪律处分有明显悔改表现，且具有下列情形之一者，可授予学士学位：</w:t>
      </w:r>
    </w:p>
    <w:p>
      <w:pPr>
        <w:pStyle w:val="2"/>
        <w:spacing w:line="350" w:lineRule="auto"/>
      </w:pPr>
      <w:r>
        <w:t>1</w:t>
      </w:r>
      <w:r>
        <w:rPr>
          <w:spacing w:val="-11"/>
        </w:rPr>
        <w:t>、受过两次严重警告或一次记过处分，但学位课程平均学分绩点≥2</w:t>
      </w:r>
      <w:r>
        <w:rPr>
          <w:spacing w:val="-7"/>
        </w:rPr>
        <w:t xml:space="preserve">. </w:t>
      </w:r>
      <w:r>
        <w:t>2</w:t>
      </w:r>
      <w:r>
        <w:rPr>
          <w:spacing w:val="-27"/>
        </w:rPr>
        <w:t xml:space="preserve"> 者；</w:t>
      </w:r>
    </w:p>
    <w:p>
      <w:pPr>
        <w:pStyle w:val="2"/>
        <w:spacing w:before="3" w:line="350" w:lineRule="auto"/>
        <w:ind w:left="745" w:right="322" w:firstLine="0"/>
      </w:pPr>
      <w:r>
        <w:t>2、受留校察看处分的但学位课程平均学分绩点≥2.5 者。五、有下列情况之一者，一般不授予学士学位：</w:t>
      </w:r>
    </w:p>
    <w:p>
      <w:pPr>
        <w:spacing w:after="0" w:line="350" w:lineRule="auto"/>
        <w:sectPr>
          <w:type w:val="continuous"/>
          <w:pgSz w:w="11910" w:h="16840"/>
          <w:pgMar w:top="1580" w:right="1340" w:bottom="280" w:left="1340" w:header="720" w:footer="720" w:gutter="0"/>
          <w:cols w:space="720" w:num="1"/>
        </w:sectPr>
      </w:pPr>
    </w:p>
    <w:p>
      <w:pPr>
        <w:pStyle w:val="2"/>
        <w:ind w:left="0" w:right="0" w:firstLine="0"/>
        <w:rPr>
          <w:sz w:val="25"/>
        </w:rPr>
      </w:pPr>
    </w:p>
    <w:p>
      <w:pPr>
        <w:pStyle w:val="2"/>
        <w:spacing w:before="55" w:line="350" w:lineRule="auto"/>
      </w:pPr>
      <w:r>
        <w:t>（一）在校期间有严重违反四项基本原则的言行，经教育仍无转变表现者。</w:t>
      </w:r>
    </w:p>
    <w:p>
      <w:pPr>
        <w:pStyle w:val="2"/>
        <w:spacing w:before="3"/>
        <w:ind w:left="745" w:right="0" w:firstLine="0"/>
      </w:pPr>
      <w:r>
        <w:t>（二）在校学习期间由于违背学术诚信而受到纪律处分：</w:t>
      </w:r>
    </w:p>
    <w:p>
      <w:pPr>
        <w:pStyle w:val="2"/>
        <w:spacing w:before="190" w:line="350" w:lineRule="auto"/>
      </w:pPr>
      <w:r>
        <w:t>1</w:t>
      </w:r>
      <w:r>
        <w:rPr>
          <w:spacing w:val="-11"/>
        </w:rPr>
        <w:t>、受过两次严重警告或一次记过处分，学位课程平均学分绩点＜2.2</w:t>
      </w:r>
      <w:r>
        <w:rPr>
          <w:spacing w:val="-28"/>
        </w:rPr>
        <w:t xml:space="preserve"> 者；</w:t>
      </w:r>
    </w:p>
    <w:p>
      <w:pPr>
        <w:pStyle w:val="2"/>
        <w:ind w:left="745" w:right="0" w:firstLine="0"/>
      </w:pPr>
      <w:r>
        <w:t>2、受留校察看处分,学位课程平均学分绩点＜2.5 者。</w:t>
      </w:r>
    </w:p>
    <w:p>
      <w:pPr>
        <w:pStyle w:val="2"/>
        <w:spacing w:before="190" w:line="350" w:lineRule="auto"/>
      </w:pPr>
      <w:r>
        <w:t>（三）学位论文出现购买、由他人代写、剽窃或者伪造数据等作假情形者。</w:t>
      </w:r>
    </w:p>
    <w:p>
      <w:pPr>
        <w:pStyle w:val="2"/>
        <w:spacing w:before="3" w:line="350" w:lineRule="auto"/>
        <w:ind w:left="745" w:right="2399" w:firstLine="0"/>
      </w:pPr>
      <w:r>
        <w:t>（四）经审查，其它不能授予学士学位者。六、授予学士学位的工作程序</w:t>
      </w:r>
    </w:p>
    <w:p>
      <w:pPr>
        <w:pStyle w:val="2"/>
        <w:spacing w:before="3" w:line="350" w:lineRule="auto"/>
        <w:jc w:val="both"/>
      </w:pPr>
      <w:r>
        <w:t>（一）凡有学士学位授予权的专业，学生本人向其所在的系学位分委会提出申请。各系对本系本科毕业生的成绩、毕业和学位授予资格有关材料进行逐一审核，对符合获得学士学位标准的提交系学位分委会。</w:t>
      </w:r>
    </w:p>
    <w:p>
      <w:pPr>
        <w:pStyle w:val="2"/>
        <w:spacing w:before="6" w:line="350" w:lineRule="auto"/>
      </w:pPr>
      <w:r>
        <w:t>（二）各系召开学位分委会会议审查通过符合学士学位授予条件的学生名单，并提交校学位委员会办公室。</w:t>
      </w:r>
    </w:p>
    <w:p>
      <w:pPr>
        <w:pStyle w:val="2"/>
        <w:spacing w:line="350" w:lineRule="auto"/>
      </w:pPr>
      <w:r>
        <w:t>（三）校学位委员会办公室对各系上报的学士学位授予材料进行审核，并上报校学位委员会。</w:t>
      </w:r>
    </w:p>
    <w:p>
      <w:pPr>
        <w:pStyle w:val="2"/>
        <w:spacing w:before="3" w:line="350" w:lineRule="auto"/>
      </w:pPr>
      <w:r>
        <w:t>（四）学校召开学位委员会例会，听取各系学位分委会的汇报，并进行表决。</w:t>
      </w:r>
    </w:p>
    <w:p>
      <w:pPr>
        <w:pStyle w:val="2"/>
        <w:spacing w:before="3" w:line="350" w:lineRule="auto"/>
      </w:pPr>
      <w:r>
        <w:t>（五）学校对通过校学位委员会表决的学生授予学士学位， 颁发学位证书。</w:t>
      </w:r>
    </w:p>
    <w:p>
      <w:pPr>
        <w:spacing w:after="0" w:line="350" w:lineRule="auto"/>
        <w:sectPr>
          <w:pgSz w:w="11910" w:h="16840"/>
          <w:pgMar w:top="1580" w:right="1340" w:bottom="280" w:left="1340" w:header="720" w:footer="720" w:gutter="0"/>
          <w:cols w:space="720" w:num="1"/>
        </w:sectPr>
      </w:pPr>
    </w:p>
    <w:p>
      <w:pPr>
        <w:pStyle w:val="2"/>
        <w:ind w:left="0" w:right="0" w:firstLine="0"/>
        <w:rPr>
          <w:sz w:val="25"/>
        </w:rPr>
      </w:pPr>
    </w:p>
    <w:p>
      <w:pPr>
        <w:pStyle w:val="2"/>
        <w:spacing w:before="55" w:line="350" w:lineRule="auto"/>
      </w:pPr>
      <w:r>
        <w:t>（六）学校将授予学士学位的名单及有关材料报辽宁省学位委员会办公室备案。</w:t>
      </w:r>
    </w:p>
    <w:p>
      <w:pPr>
        <w:pStyle w:val="2"/>
        <w:spacing w:before="3"/>
        <w:ind w:left="745" w:right="0" w:firstLine="0"/>
      </w:pPr>
      <w:r>
        <w:t>七、各专业对应的学士学位</w:t>
      </w:r>
    </w:p>
    <w:p>
      <w:pPr>
        <w:pStyle w:val="2"/>
        <w:spacing w:before="190" w:line="350" w:lineRule="auto"/>
        <w:ind w:right="103"/>
      </w:pPr>
      <w:r>
        <w:t>（一</w:t>
      </w:r>
      <w:r>
        <w:rPr>
          <w:spacing w:val="-147"/>
        </w:rPr>
        <w:t>）</w:t>
      </w:r>
      <w:r>
        <w:rPr>
          <w:spacing w:val="-13"/>
        </w:rPr>
        <w:t>依据教育部颁布的《普通高等学校本科专业目录</w:t>
      </w:r>
      <w:r>
        <w:rPr>
          <w:spacing w:val="-291"/>
        </w:rPr>
        <w:t>》</w:t>
      </w:r>
      <w:r>
        <w:t>（2012 年版）所规定的学科门类，授予相应的学士学位。</w:t>
      </w:r>
    </w:p>
    <w:p>
      <w:pPr>
        <w:pStyle w:val="2"/>
        <w:spacing w:line="350" w:lineRule="auto"/>
        <w:ind w:right="107"/>
        <w:jc w:val="both"/>
      </w:pPr>
      <w:r>
        <w:t>（二）教育部颁布的《普通高等学校本科专业目录》（2012 年）以外的专业，按照上级主管部门批准专业时明确的所属学科门类授予学士学位。</w:t>
      </w:r>
    </w:p>
    <w:p>
      <w:pPr>
        <w:pStyle w:val="2"/>
        <w:spacing w:before="5" w:line="350" w:lineRule="auto"/>
        <w:jc w:val="both"/>
      </w:pPr>
      <w:r>
        <w:rPr>
          <w:spacing w:val="-22"/>
        </w:rPr>
        <w:t xml:space="preserve">八、本办法自 </w:t>
      </w:r>
      <w:r>
        <w:t>2018</w:t>
      </w:r>
      <w:r>
        <w:rPr>
          <w:spacing w:val="-12"/>
        </w:rPr>
        <w:t xml:space="preserve"> 级起开始执行，由校学位评定委员会办公室负责解释。</w:t>
      </w:r>
    </w:p>
    <w:sectPr>
      <w:pgSz w:w="11910" w:h="16840"/>
      <w:pgMar w:top="1580" w:right="1340" w:bottom="280" w:left="13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Microsoft JhengHei">
    <w:panose1 w:val="020B0604030504040204"/>
    <w:charset w:val="88"/>
    <w:family w:val="swiss"/>
    <w:pitch w:val="default"/>
    <w:sig w:usb0="000002A7" w:usb1="28CF4400" w:usb2="00000016" w:usb3="00000000" w:csb0="00100009"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yNjQwNzVlOWFiZTAyMmNlMzc4MDFlZjM3ODE3M2YifQ=="/>
  </w:docVars>
  <w:rsids>
    <w:rsidRoot w:val="00000000"/>
    <w:rsid w:val="77B9585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character" w:default="1" w:styleId="4">
    <w:name w:val="Default Paragraph Font"/>
    <w:semiHidden/>
    <w:unhideWhenUsed/>
    <w:uiPriority w:val="1"/>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pPr>
      <w:spacing w:before="2"/>
      <w:ind w:left="104" w:right="105" w:firstLine="640"/>
    </w:pPr>
    <w:rPr>
      <w:rFonts w:ascii="仿宋" w:hAnsi="仿宋" w:eastAsia="仿宋" w:cs="仿宋"/>
      <w:sz w:val="32"/>
      <w:szCs w:val="32"/>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1051</Words>
  <Characters>1070</Characters>
  <TotalTime>1</TotalTime>
  <ScaleCrop>false</ScaleCrop>
  <LinksUpToDate>false</LinksUpToDate>
  <CharactersWithSpaces>1083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2022-11-02T08:53:00Z</dcterms:created>
  <dc:creator>User</dc:creator>
  <cp:lastModifiedBy>WPS_1470577410</cp:lastModifiedBy>
  <dcterms:modified xsi:type="dcterms:W3CDTF">2022-11-02T08:54:53Z</dcterms:modified>
  <dc:title>院发[2015]93号    签发人：何辉</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2021-06-02T00:00:00Z</vt:filetime>
  </property>
  <property fmtid="{D5CDD505-2E9C-101B-9397-08002B2CF9AE}" pid="3" name="Creator">
    <vt:lpwstr>WPS 文字</vt:lpwstr>
  </property>
  <property fmtid="{D5CDD505-2E9C-101B-9397-08002B2CF9AE}" pid="4" name="LastSaved">
    <vt:filetime>2022-11-02T00:00:00Z</vt:filetime>
  </property>
  <property fmtid="{D5CDD505-2E9C-101B-9397-08002B2CF9AE}" pid="5" name="KSOProductBuildVer">
    <vt:lpwstr>2052-11.1.0.12763</vt:lpwstr>
  </property>
  <property fmtid="{D5CDD505-2E9C-101B-9397-08002B2CF9AE}" pid="6" name="ICV">
    <vt:lpwstr>D30D2DE2C3A04602B7AB007A02B26D34</vt:lpwstr>
  </property>
</Properties>
</file>